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493B" w:rsidRPr="00F6628A" w:rsidRDefault="00F6628A" w:rsidP="00F6628A">
      <w:pPr>
        <w:rPr>
          <w:rFonts w:ascii="Times New Roman" w:hAnsi="Times New Roman" w:cs="Times New Roman"/>
          <w:b/>
          <w:sz w:val="28"/>
          <w:szCs w:val="28"/>
        </w:rPr>
      </w:pPr>
      <w:r w:rsidRPr="007B4A77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g">
            <w:drawing>
              <wp:anchor distT="0" distB="0" distL="228600" distR="228600" simplePos="0" relativeHeight="251658240" behindDoc="1" locked="0" layoutInCell="1" allowOverlap="1" wp14:anchorId="7AAC42E4" wp14:editId="3D8F2614">
                <wp:simplePos x="0" y="0"/>
                <wp:positionH relativeFrom="margin">
                  <wp:posOffset>2009775</wp:posOffset>
                </wp:positionH>
                <wp:positionV relativeFrom="margin">
                  <wp:posOffset>781050</wp:posOffset>
                </wp:positionV>
                <wp:extent cx="5086350" cy="1943100"/>
                <wp:effectExtent l="0" t="0" r="0" b="0"/>
                <wp:wrapSquare wrapText="bothSides"/>
                <wp:docPr id="201" name="Group 20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86350" cy="1943100"/>
                          <a:chOff x="-5850" y="-74305"/>
                          <a:chExt cx="2152753" cy="2225207"/>
                        </a:xfrm>
                        <a:solidFill>
                          <a:schemeClr val="accent2">
                            <a:lumMod val="50000"/>
                          </a:schemeClr>
                        </a:solidFill>
                      </wpg:grpSpPr>
                      <wps:wsp>
                        <wps:cNvPr id="202" name="Rectangle 202"/>
                        <wps:cNvSpPr/>
                        <wps:spPr>
                          <a:xfrm>
                            <a:off x="-5850" y="-74305"/>
                            <a:ext cx="2148906" cy="22859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3" name="Rectangle 203"/>
                        <wps:cNvSpPr/>
                        <wps:spPr>
                          <a:xfrm>
                            <a:off x="0" y="633243"/>
                            <a:ext cx="2146903" cy="151765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D211D" w:rsidRPr="00F6628A" w:rsidRDefault="002E0A24" w:rsidP="000429F7">
                              <w:p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2-Year Proje</w:t>
                              </w:r>
                              <w:r w:rsidR="00D935FB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cted (20</w:t>
                              </w:r>
                              <w:r w:rsidR="00B35C2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18</w:t>
                              </w:r>
                              <w:r w:rsidR="00D935FB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-20</w:t>
                              </w:r>
                              <w:r w:rsidR="00B35C25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D935FB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Growth Rate:  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</w:t>
                              </w:r>
                              <w:r w:rsidR="003369C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5B3A2B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15</w:t>
                              </w:r>
                              <w:r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Gain:  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Coaches and Scouts</w:t>
                              </w:r>
                              <w:r w:rsidR="007104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(27-2022)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773B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–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63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jobs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Gain:  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Technical Writers</w:t>
                              </w:r>
                              <w:r w:rsidR="007104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(27-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3042</w:t>
                              </w:r>
                              <w:r w:rsidR="007104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)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6.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47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% 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Biggest Loser:   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Floral Designers</w:t>
                              </w:r>
                              <w:r w:rsidR="007104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(27-1023)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– 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20</w:t>
                              </w:r>
                              <w:r w:rsidR="000429F7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jobs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br/>
                                <w:t xml:space="preserve">Fastest Loser:   </w:t>
                              </w:r>
                              <w:r w:rsidR="00F6628A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Reporters and Correspondents</w:t>
                              </w:r>
                              <w:r w:rsidR="007104B3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(27-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3022</w:t>
                              </w:r>
                              <w:r w:rsidR="0003404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) – 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5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.</w:t>
                              </w:r>
                              <w:r w:rsid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26</w:t>
                              </w:r>
                              <w:r w:rsidR="00034048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>%</w:t>
                              </w:r>
                              <w:r w:rsidR="00FD211D" w:rsidRPr="00F6628A"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182880" rIns="109728" bIns="22860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4" name="Text Box 204"/>
                        <wps:cNvSpPr txBox="1"/>
                        <wps:spPr>
                          <a:xfrm>
                            <a:off x="0" y="231818"/>
                            <a:ext cx="2146903" cy="49044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90AD7" w:rsidRPr="00F6628A" w:rsidRDefault="00BE0E5F" w:rsidP="00CC2B88">
                              <w:pPr>
                                <w:pStyle w:val="NoSpacing"/>
                                <w:jc w:val="center"/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</w:pPr>
                              <w:r w:rsidRPr="00F6628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Short-Term Outlook</w:t>
                              </w:r>
                              <w:r w:rsidR="0029218E" w:rsidRPr="00F6628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 xml:space="preserve"> 20</w:t>
                              </w:r>
                              <w:r w:rsidR="00B35C2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18</w:t>
                              </w:r>
                              <w:r w:rsidR="0029218E" w:rsidRPr="00F6628A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-20</w:t>
                              </w:r>
                              <w:r w:rsidR="00B35C25">
                                <w:rPr>
                                  <w:rFonts w:ascii="Times New Roman" w:eastAsiaTheme="majorEastAsia" w:hAnsi="Times New Roman" w:cs="Times New Roman"/>
                                  <w:b/>
                                  <w:caps/>
                                  <w:color w:val="833C0B" w:themeColor="accent2" w:themeShade="80"/>
                                  <w:sz w:val="28"/>
                                  <w:szCs w:val="28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AC42E4" id="Group 201" o:spid="_x0000_s1026" style="position:absolute;margin-left:158.25pt;margin-top:61.5pt;width:400.5pt;height:153pt;z-index:-251658240;mso-wrap-distance-left:18pt;mso-wrap-distance-right:18pt;mso-position-horizontal-relative:margin;mso-position-vertical-relative:margin;mso-width-relative:margin;mso-height-relative:margin" coordorigin="-58,-743" coordsize="21527,22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">
                <v:rect id="Rectangle 202" o:spid="_x0000_s1027" style="position:absolute;left:-58;top:-743;width:21488;height:228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IBsMA&#10;AADcAAAADwAAAGRycy9kb3ducmV2LnhtbESPT2sCMRTE7wW/Q3hCbzXrHopsjVKFUsWD+Kf31+S5&#10;u7h5WZK4u357Uyh4HGbmN8x8OdhGdORD7VjBdJKBINbO1FwqOJ++3mYgQkQ22DgmBXcKsFyMXuZY&#10;GNfzgbpjLEWCcChQQRVjW0gZdEUWw8S1xMm7OG8xJulLaTz2CW4bmWfZu7RYc1qosKV1Rfp6vFkF&#10;P+6y6q3+5W1339e3753XerZT6nU8fH6AiDTEZ/i/vTEK8iyHvzPpCM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IBsMAAADcAAAADwAAAAAAAAAAAAAAAACYAgAAZHJzL2Rv&#10;d25yZXYueG1sUEsFBgAAAAAEAAQA9QAAAIgDAAAAAA==&#10;" filled="f" stroked="f" strokeweight="1pt"/>
                <v:rect id="Rectangle 203" o:spid="_x0000_s1028" style="position:absolute;top:6332;width:21469;height:151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84lH8MA&#10;AADcAAAADwAAAGRycy9kb3ducmV2LnhtbESPQYvCMBSE78L+h/AEb5pWoS5do8iCsCwIat372+bZ&#10;FpuX2kRb/70RBI/DzHzDLFa9qcWNWldZVhBPIhDEudUVFwqO2Wb8CcJ5ZI21ZVJwJwer5cdggam2&#10;He/pdvCFCBB2KSoovW9SKV1ekkE3sQ1x8E62NeiDbAupW+wC3NRyGkWJNFhxWCixoe+S8vPhahRc&#10;uyKZU+Li7f/fb79bX+LsfI+VGg379RcIT71/h1/tH61gGs3geSYcAbl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84lH8MAAADcAAAADwAAAAAAAAAAAAAAAACYAgAAZHJzL2Rv&#10;d25yZXYueG1sUEsFBgAAAAAEAAQA9QAAAIgDAAAAAA==&#10;" filled="f" stroked="f" strokeweight="1pt">
                  <v:textbox inset=",14.4pt,8.64pt,18pt">
                    <w:txbxContent>
                      <w:p w:rsidR="00FD211D" w:rsidRPr="00F6628A" w:rsidRDefault="002E0A24" w:rsidP="000429F7">
                        <w:p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</w:pPr>
                        <w:r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2-Year Proje</w:t>
                        </w:r>
                        <w:r w:rsidR="00D935FB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cted (20</w:t>
                        </w:r>
                        <w:r w:rsidR="00B35C2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18</w:t>
                        </w:r>
                        <w:r w:rsidR="00D935FB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-20</w:t>
                        </w:r>
                        <w:r w:rsidR="00B35C25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D935FB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Growth Rate:  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</w:t>
                        </w:r>
                        <w:r w:rsidR="003369C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5B3A2B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15</w:t>
                        </w:r>
                        <w:r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Gain:  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Coaches and Scouts</w:t>
                        </w:r>
                        <w:r w:rsidR="007104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(27-2022)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773B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–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63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jobs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Gain:  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Technical Writers</w:t>
                        </w:r>
                        <w:r w:rsidR="007104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(27-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3042</w:t>
                        </w:r>
                        <w:r w:rsidR="007104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)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6.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47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% 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Biggest Loser:   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Floral Designers</w:t>
                        </w:r>
                        <w:r w:rsidR="007104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(27-1023)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– 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20</w:t>
                        </w:r>
                        <w:r w:rsidR="000429F7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jobs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br/>
                          <w:t xml:space="preserve">Fastest Loser:   </w:t>
                        </w:r>
                        <w:r w:rsidR="00F6628A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Reporters and Correspondents</w:t>
                        </w:r>
                        <w:r w:rsidR="007104B3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(27-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3022</w:t>
                        </w:r>
                        <w:r w:rsidR="0003404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) – 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5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.</w:t>
                        </w:r>
                        <w:r w:rsid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26</w:t>
                        </w:r>
                        <w:r w:rsidR="00034048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>%</w:t>
                        </w:r>
                        <w:r w:rsidR="00FD211D" w:rsidRPr="00F6628A"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04" o:spid="_x0000_s1029" type="#_x0000_t202" style="position:absolute;top:2318;width:21469;height:490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KnSsIA&#10;AADcAAAADwAAAGRycy9kb3ducmV2LnhtbESPQWvCQBSE7wX/w/IEb3UTaaRE1yAtbb02euntkX0m&#10;wezbsPuq8d93C4Ueh5n5htlWkxvUlULsPRvIlxko4sbbnlsDp+Pb4zOoKMgWB89k4E4Rqt3sYYul&#10;9Tf+pGstrUoQjiUa6ETGUuvYdOQwLv1InLyzDw4lydBqG/CW4G7Qqyxba4c9p4UOR3rpqLnU386A&#10;vMf8UJzkYx2+itfC1poCaWMW82m/ASU0yX/4r32wBlbZE/yeSUdA73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cqdKwgAAANwAAAAPAAAAAAAAAAAAAAAAAJgCAABkcnMvZG93&#10;bnJldi54bWxQSwUGAAAAAAQABAD1AAAAhwMAAAAA&#10;" fillcolor="white [3212]" stroked="f" strokeweight=".5pt">
                  <v:textbox inset=",7.2pt,,7.2pt">
                    <w:txbxContent>
                      <w:p w:rsidR="00490AD7" w:rsidRPr="00F6628A" w:rsidRDefault="00BE0E5F" w:rsidP="00CC2B88">
                        <w:pPr>
                          <w:pStyle w:val="NoSpacing"/>
                          <w:jc w:val="center"/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</w:pPr>
                        <w:r w:rsidRPr="00F6628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Short-Term Outlook</w:t>
                        </w:r>
                        <w:r w:rsidR="0029218E" w:rsidRPr="00F6628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 xml:space="preserve"> 20</w:t>
                        </w:r>
                        <w:r w:rsidR="00B35C2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18</w:t>
                        </w:r>
                        <w:r w:rsidR="0029218E" w:rsidRPr="00F6628A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-20</w:t>
                        </w:r>
                        <w:r w:rsidR="00B35C25">
                          <w:rPr>
                            <w:rFonts w:ascii="Times New Roman" w:eastAsiaTheme="majorEastAsia" w:hAnsi="Times New Roman" w:cs="Times New Roman"/>
                            <w:b/>
                            <w:caps/>
                            <w:color w:val="833C0B" w:themeColor="accent2" w:themeShade="80"/>
                            <w:sz w:val="28"/>
                            <w:szCs w:val="28"/>
                          </w:rPr>
                          <w:t>20</w:t>
                        </w: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  <w:r w:rsidRPr="00F6628A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0</wp:posOffset>
                </wp:positionV>
                <wp:extent cx="7153275" cy="4000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53275" cy="4000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628A" w:rsidRPr="00F6628A" w:rsidRDefault="00F6628A" w:rsidP="00F6628A">
                            <w:pPr>
                              <w:jc w:val="center"/>
                              <w:rPr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F6628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Arts, Design, Entertainment, Sports, and Media Occupations (27-0000)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-4.5pt;margin-top:0;width:563.25pt;height:3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" fillcolor="#823b0b [1605]">
                <v:textbox>
                  <w:txbxContent>
                    <w:p w:rsidR="00F6628A" w:rsidRPr="00F6628A" w:rsidRDefault="00F6628A" w:rsidP="00F6628A">
                      <w:pPr>
                        <w:jc w:val="center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 w:rsidRPr="00F6628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6"/>
                          <w:szCs w:val="36"/>
                        </w:rPr>
                        <w:t>Arts, Design, Entertainment, Sports, and Media Occupations (27-0000)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4793D" w:rsidRPr="00B4793D">
        <w:rPr>
          <w:rFonts w:ascii="Times New Roman" w:hAnsi="Times New Roman" w:cs="Times New Roman"/>
          <w:b/>
          <w:sz w:val="24"/>
          <w:szCs w:val="24"/>
        </w:rPr>
        <w:t>Arts, Design, Entertainment, Sports, and Media Occupations</w:t>
      </w:r>
      <w:r w:rsidR="00C8302D" w:rsidRPr="000960E8">
        <w:rPr>
          <w:rFonts w:ascii="Times New Roman" w:hAnsi="Times New Roman" w:cs="Times New Roman"/>
          <w:sz w:val="24"/>
          <w:szCs w:val="24"/>
        </w:rPr>
        <w:t xml:space="preserve"> is projected to </w:t>
      </w:r>
      <w:r w:rsidR="00773BB3">
        <w:rPr>
          <w:rFonts w:ascii="Times New Roman" w:hAnsi="Times New Roman" w:cs="Times New Roman"/>
          <w:sz w:val="24"/>
          <w:szCs w:val="24"/>
        </w:rPr>
        <w:t xml:space="preserve">add </w:t>
      </w:r>
      <w:r w:rsidR="005B3A2B">
        <w:rPr>
          <w:rFonts w:ascii="Times New Roman" w:hAnsi="Times New Roman" w:cs="Times New Roman"/>
          <w:sz w:val="24"/>
          <w:szCs w:val="24"/>
        </w:rPr>
        <w:t>321</w:t>
      </w:r>
      <w:r w:rsidR="00773BB3">
        <w:rPr>
          <w:rFonts w:ascii="Times New Roman" w:hAnsi="Times New Roman" w:cs="Times New Roman"/>
          <w:sz w:val="24"/>
          <w:szCs w:val="24"/>
        </w:rPr>
        <w:t xml:space="preserve"> new jobs to the state economy, an increase of 2.</w:t>
      </w:r>
      <w:r w:rsidR="005B3A2B">
        <w:rPr>
          <w:rFonts w:ascii="Times New Roman" w:hAnsi="Times New Roman" w:cs="Times New Roman"/>
          <w:sz w:val="24"/>
          <w:szCs w:val="24"/>
        </w:rPr>
        <w:t>15</w:t>
      </w:r>
      <w:r w:rsidR="00773BB3">
        <w:rPr>
          <w:rFonts w:ascii="Times New Roman" w:hAnsi="Times New Roman" w:cs="Times New Roman"/>
          <w:sz w:val="24"/>
          <w:szCs w:val="24"/>
        </w:rPr>
        <w:t xml:space="preserve"> percent.  Of the </w:t>
      </w:r>
      <w:r w:rsidR="00B4793D">
        <w:rPr>
          <w:rFonts w:ascii="Times New Roman" w:hAnsi="Times New Roman" w:cs="Times New Roman"/>
          <w:sz w:val="24"/>
          <w:szCs w:val="24"/>
        </w:rPr>
        <w:t>1,</w:t>
      </w:r>
      <w:r w:rsidR="005B3A2B">
        <w:rPr>
          <w:rFonts w:ascii="Times New Roman" w:hAnsi="Times New Roman" w:cs="Times New Roman"/>
          <w:sz w:val="24"/>
          <w:szCs w:val="24"/>
        </w:rPr>
        <w:t>614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job openings, </w:t>
      </w:r>
      <w:r w:rsidR="005B3A2B">
        <w:rPr>
          <w:rFonts w:ascii="Times New Roman" w:hAnsi="Times New Roman" w:cs="Times New Roman"/>
          <w:sz w:val="24"/>
          <w:szCs w:val="24"/>
        </w:rPr>
        <w:t>599</w:t>
      </w:r>
      <w:r w:rsidR="00B4793D">
        <w:rPr>
          <w:rFonts w:ascii="Times New Roman" w:hAnsi="Times New Roman" w:cs="Times New Roman"/>
          <w:sz w:val="24"/>
          <w:szCs w:val="24"/>
        </w:rPr>
        <w:t xml:space="preserve"> are for </w:t>
      </w:r>
      <w:r w:rsidR="00773BB3">
        <w:rPr>
          <w:rFonts w:ascii="Times New Roman" w:hAnsi="Times New Roman" w:cs="Times New Roman"/>
          <w:sz w:val="24"/>
          <w:szCs w:val="24"/>
        </w:rPr>
        <w:t xml:space="preserve">those created from employees leaving the workforce, while </w:t>
      </w:r>
      <w:r w:rsidR="005B3A2B">
        <w:rPr>
          <w:rFonts w:ascii="Times New Roman" w:hAnsi="Times New Roman" w:cs="Times New Roman"/>
          <w:sz w:val="24"/>
          <w:szCs w:val="24"/>
        </w:rPr>
        <w:t>855</w:t>
      </w:r>
      <w:r w:rsidR="00773BB3">
        <w:rPr>
          <w:rFonts w:ascii="Times New Roman" w:hAnsi="Times New Roman" w:cs="Times New Roman"/>
          <w:sz w:val="24"/>
          <w:szCs w:val="24"/>
        </w:rPr>
        <w:t xml:space="preserve"> are from people changing jobs.  Growth and expansion accounts for </w:t>
      </w:r>
      <w:r w:rsidR="00B4793D">
        <w:rPr>
          <w:rFonts w:ascii="Times New Roman" w:hAnsi="Times New Roman" w:cs="Times New Roman"/>
          <w:sz w:val="24"/>
          <w:szCs w:val="24"/>
        </w:rPr>
        <w:t>16</w:t>
      </w:r>
      <w:r w:rsidR="005B3A2B">
        <w:rPr>
          <w:rFonts w:ascii="Times New Roman" w:hAnsi="Times New Roman" w:cs="Times New Roman"/>
          <w:sz w:val="24"/>
          <w:szCs w:val="24"/>
        </w:rPr>
        <w:t>0</w:t>
      </w:r>
      <w:r w:rsidR="00773BB3">
        <w:rPr>
          <w:rFonts w:ascii="Times New Roman" w:hAnsi="Times New Roman" w:cs="Times New Roman"/>
          <w:sz w:val="24"/>
          <w:szCs w:val="24"/>
        </w:rPr>
        <w:t xml:space="preserve"> annual openings</w:t>
      </w:r>
      <w:r w:rsidR="00B4793D">
        <w:rPr>
          <w:rFonts w:ascii="Times New Roman" w:hAnsi="Times New Roman" w:cs="Times New Roman"/>
          <w:sz w:val="24"/>
          <w:szCs w:val="24"/>
        </w:rPr>
        <w:t>.</w:t>
      </w:r>
      <w:r w:rsidR="00EC493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35EEF" w:rsidRDefault="00EC493B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304F2">
        <w:rPr>
          <w:rFonts w:ascii="Times New Roman" w:hAnsi="Times New Roman" w:cs="Times New Roman"/>
          <w:sz w:val="24"/>
          <w:szCs w:val="24"/>
        </w:rPr>
        <w:t xml:space="preserve">The </w:t>
      </w:r>
      <w:r w:rsidR="00B4793D" w:rsidRPr="00B4793D">
        <w:rPr>
          <w:rFonts w:ascii="Times New Roman" w:hAnsi="Times New Roman" w:cs="Times New Roman"/>
          <w:b/>
          <w:i/>
          <w:sz w:val="24"/>
          <w:szCs w:val="24"/>
        </w:rPr>
        <w:t>Art and Design Workers</w:t>
      </w:r>
      <w:r w:rsidR="00035EEF">
        <w:rPr>
          <w:rFonts w:ascii="Times New Roman" w:hAnsi="Times New Roman" w:cs="Times New Roman"/>
          <w:sz w:val="24"/>
          <w:szCs w:val="24"/>
        </w:rPr>
        <w:t xml:space="preserve"> occupational family is anticipating </w:t>
      </w:r>
      <w:r w:rsidR="005B3A2B">
        <w:rPr>
          <w:rFonts w:ascii="Times New Roman" w:hAnsi="Times New Roman" w:cs="Times New Roman"/>
          <w:sz w:val="24"/>
          <w:szCs w:val="24"/>
        </w:rPr>
        <w:t>114</w:t>
      </w:r>
      <w:r w:rsidR="00035EEF">
        <w:rPr>
          <w:rFonts w:ascii="Times New Roman" w:hAnsi="Times New Roman" w:cs="Times New Roman"/>
          <w:sz w:val="24"/>
          <w:szCs w:val="24"/>
        </w:rPr>
        <w:t xml:space="preserve"> new jobs, an increase of </w:t>
      </w:r>
      <w:r w:rsidR="005B3A2B">
        <w:rPr>
          <w:rFonts w:ascii="Times New Roman" w:hAnsi="Times New Roman" w:cs="Times New Roman"/>
          <w:sz w:val="24"/>
          <w:szCs w:val="24"/>
        </w:rPr>
        <w:t>2</w:t>
      </w:r>
      <w:r w:rsidR="00035EEF">
        <w:rPr>
          <w:rFonts w:ascii="Times New Roman" w:hAnsi="Times New Roman" w:cs="Times New Roman"/>
          <w:sz w:val="24"/>
          <w:szCs w:val="24"/>
        </w:rPr>
        <w:t>.</w:t>
      </w:r>
      <w:r w:rsidR="005B3A2B">
        <w:rPr>
          <w:rFonts w:ascii="Times New Roman" w:hAnsi="Times New Roman" w:cs="Times New Roman"/>
          <w:sz w:val="24"/>
          <w:szCs w:val="24"/>
        </w:rPr>
        <w:t>16</w:t>
      </w:r>
      <w:r w:rsidR="00035EEF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B4793D">
        <w:rPr>
          <w:rFonts w:ascii="Times New Roman" w:hAnsi="Times New Roman" w:cs="Times New Roman"/>
          <w:sz w:val="24"/>
          <w:szCs w:val="24"/>
        </w:rPr>
        <w:t xml:space="preserve">Graphic Designers leads this occupational family with </w:t>
      </w:r>
      <w:r w:rsidR="005B3A2B">
        <w:rPr>
          <w:rFonts w:ascii="Times New Roman" w:hAnsi="Times New Roman" w:cs="Times New Roman"/>
          <w:sz w:val="24"/>
          <w:szCs w:val="24"/>
        </w:rPr>
        <w:t>44</w:t>
      </w:r>
      <w:r w:rsidR="00B4793D">
        <w:rPr>
          <w:rFonts w:ascii="Times New Roman" w:hAnsi="Times New Roman" w:cs="Times New Roman"/>
          <w:sz w:val="24"/>
          <w:szCs w:val="24"/>
        </w:rPr>
        <w:t xml:space="preserve"> new jobs, while Floral Designers could see a decline of </w:t>
      </w:r>
      <w:r w:rsidR="005B3A2B">
        <w:rPr>
          <w:rFonts w:ascii="Times New Roman" w:hAnsi="Times New Roman" w:cs="Times New Roman"/>
          <w:sz w:val="24"/>
          <w:szCs w:val="24"/>
        </w:rPr>
        <w:t>20</w:t>
      </w:r>
      <w:r w:rsidR="00B4793D">
        <w:rPr>
          <w:rFonts w:ascii="Times New Roman" w:hAnsi="Times New Roman" w:cs="Times New Roman"/>
          <w:sz w:val="24"/>
          <w:szCs w:val="24"/>
        </w:rPr>
        <w:t>.</w:t>
      </w:r>
      <w:r w:rsidR="00035EEF">
        <w:rPr>
          <w:rFonts w:ascii="Times New Roman" w:hAnsi="Times New Roman" w:cs="Times New Roman"/>
          <w:sz w:val="24"/>
          <w:szCs w:val="24"/>
        </w:rPr>
        <w:t xml:space="preserve">  </w:t>
      </w:r>
      <w:r w:rsidR="00B4793D">
        <w:rPr>
          <w:rFonts w:ascii="Times New Roman" w:hAnsi="Times New Roman" w:cs="Times New Roman"/>
          <w:sz w:val="24"/>
          <w:szCs w:val="24"/>
        </w:rPr>
        <w:t>Overall, t</w:t>
      </w:r>
      <w:r w:rsidR="00035EEF">
        <w:rPr>
          <w:rFonts w:ascii="Times New Roman" w:hAnsi="Times New Roman" w:cs="Times New Roman"/>
          <w:sz w:val="24"/>
          <w:szCs w:val="24"/>
        </w:rPr>
        <w:t xml:space="preserve">he occupational family is expecting around </w:t>
      </w:r>
      <w:r w:rsidR="005B3A2B">
        <w:rPr>
          <w:rFonts w:ascii="Times New Roman" w:hAnsi="Times New Roman" w:cs="Times New Roman"/>
          <w:sz w:val="24"/>
          <w:szCs w:val="24"/>
        </w:rPr>
        <w:t>534</w:t>
      </w:r>
      <w:r w:rsidR="00035EEF">
        <w:rPr>
          <w:rFonts w:ascii="Times New Roman" w:hAnsi="Times New Roman" w:cs="Times New Roman"/>
          <w:sz w:val="24"/>
          <w:szCs w:val="24"/>
        </w:rPr>
        <w:t xml:space="preserve"> annual job openings. </w:t>
      </w:r>
    </w:p>
    <w:p w:rsidR="00EF6C8A" w:rsidRDefault="00035EEF" w:rsidP="00C8302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B4793D" w:rsidRPr="00B4793D">
        <w:rPr>
          <w:rFonts w:ascii="Times New Roman" w:hAnsi="Times New Roman" w:cs="Times New Roman"/>
          <w:b/>
          <w:i/>
          <w:sz w:val="24"/>
          <w:szCs w:val="24"/>
        </w:rPr>
        <w:t>Entertainers and Performers, Sports and Related Workers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5EEF">
        <w:rPr>
          <w:rFonts w:ascii="Times New Roman" w:hAnsi="Times New Roman" w:cs="Times New Roman"/>
          <w:sz w:val="24"/>
          <w:szCs w:val="24"/>
        </w:rPr>
        <w:t xml:space="preserve">is predicted to increase jobs by </w:t>
      </w:r>
      <w:r w:rsidR="005B3A2B">
        <w:rPr>
          <w:rFonts w:ascii="Times New Roman" w:hAnsi="Times New Roman" w:cs="Times New Roman"/>
          <w:sz w:val="24"/>
          <w:szCs w:val="24"/>
        </w:rPr>
        <w:t>112</w:t>
      </w:r>
      <w:r w:rsidRPr="00035EEF">
        <w:rPr>
          <w:rFonts w:ascii="Times New Roman" w:hAnsi="Times New Roman" w:cs="Times New Roman"/>
          <w:sz w:val="24"/>
          <w:szCs w:val="24"/>
        </w:rPr>
        <w:t>, an</w:t>
      </w:r>
      <w:r>
        <w:rPr>
          <w:rFonts w:ascii="Times New Roman" w:hAnsi="Times New Roman" w:cs="Times New Roman"/>
          <w:sz w:val="24"/>
          <w:szCs w:val="24"/>
        </w:rPr>
        <w:t xml:space="preserve"> increase of </w:t>
      </w:r>
      <w:r w:rsidR="005B3A2B">
        <w:rPr>
          <w:rFonts w:ascii="Times New Roman" w:hAnsi="Times New Roman" w:cs="Times New Roman"/>
          <w:sz w:val="24"/>
          <w:szCs w:val="24"/>
        </w:rPr>
        <w:t>3</w:t>
      </w:r>
      <w:r w:rsidR="00B4793D">
        <w:rPr>
          <w:rFonts w:ascii="Times New Roman" w:hAnsi="Times New Roman" w:cs="Times New Roman"/>
          <w:sz w:val="24"/>
          <w:szCs w:val="24"/>
        </w:rPr>
        <w:t>.</w:t>
      </w:r>
      <w:r w:rsidR="005B3A2B">
        <w:rPr>
          <w:rFonts w:ascii="Times New Roman" w:hAnsi="Times New Roman" w:cs="Times New Roman"/>
          <w:sz w:val="24"/>
          <w:szCs w:val="24"/>
        </w:rPr>
        <w:t>26</w:t>
      </w:r>
      <w:r>
        <w:rPr>
          <w:rFonts w:ascii="Times New Roman" w:hAnsi="Times New Roman" w:cs="Times New Roman"/>
          <w:sz w:val="24"/>
          <w:szCs w:val="24"/>
        </w:rPr>
        <w:t xml:space="preserve"> percent.  </w:t>
      </w:r>
      <w:r w:rsidR="00B4793D">
        <w:rPr>
          <w:rFonts w:ascii="Times New Roman" w:hAnsi="Times New Roman" w:cs="Times New Roman"/>
          <w:sz w:val="24"/>
          <w:szCs w:val="24"/>
        </w:rPr>
        <w:t xml:space="preserve">The top occupation in this family is Coaches and Scouts with a gain of </w:t>
      </w:r>
      <w:r w:rsidR="005B3A2B">
        <w:rPr>
          <w:rFonts w:ascii="Times New Roman" w:hAnsi="Times New Roman" w:cs="Times New Roman"/>
          <w:sz w:val="24"/>
          <w:szCs w:val="24"/>
        </w:rPr>
        <w:t>63</w:t>
      </w:r>
      <w:r w:rsidR="00B4793D">
        <w:rPr>
          <w:rFonts w:ascii="Times New Roman" w:hAnsi="Times New Roman" w:cs="Times New Roman"/>
          <w:sz w:val="24"/>
          <w:szCs w:val="24"/>
        </w:rPr>
        <w:t xml:space="preserve">, a </w:t>
      </w:r>
      <w:r w:rsidR="005B3A2B">
        <w:rPr>
          <w:rFonts w:ascii="Times New Roman" w:hAnsi="Times New Roman" w:cs="Times New Roman"/>
          <w:sz w:val="24"/>
          <w:szCs w:val="24"/>
        </w:rPr>
        <w:t>3</w:t>
      </w:r>
      <w:r w:rsidR="00B4793D">
        <w:rPr>
          <w:rFonts w:ascii="Times New Roman" w:hAnsi="Times New Roman" w:cs="Times New Roman"/>
          <w:sz w:val="24"/>
          <w:szCs w:val="24"/>
        </w:rPr>
        <w:t>.</w:t>
      </w:r>
      <w:r w:rsidR="005B3A2B">
        <w:rPr>
          <w:rFonts w:ascii="Times New Roman" w:hAnsi="Times New Roman" w:cs="Times New Roman"/>
          <w:sz w:val="24"/>
          <w:szCs w:val="24"/>
        </w:rPr>
        <w:t>24</w:t>
      </w:r>
      <w:r w:rsidR="00B4793D">
        <w:rPr>
          <w:rFonts w:ascii="Times New Roman" w:hAnsi="Times New Roman" w:cs="Times New Roman"/>
          <w:sz w:val="24"/>
          <w:szCs w:val="24"/>
        </w:rPr>
        <w:t xml:space="preserve"> percent rise</w:t>
      </w:r>
      <w:r w:rsidR="00F10CC3">
        <w:rPr>
          <w:rFonts w:ascii="Times New Roman" w:hAnsi="Times New Roman" w:cs="Times New Roman"/>
          <w:sz w:val="24"/>
          <w:szCs w:val="24"/>
        </w:rPr>
        <w:t xml:space="preserve"> in jobs.  </w:t>
      </w:r>
      <w:r w:rsidR="00F10CC3" w:rsidRPr="00F10CC3">
        <w:rPr>
          <w:rFonts w:ascii="Times New Roman" w:hAnsi="Times New Roman" w:cs="Times New Roman"/>
          <w:sz w:val="24"/>
          <w:szCs w:val="24"/>
        </w:rPr>
        <w:t>Music Directors and Composers</w:t>
      </w:r>
      <w:r w:rsidR="00F10CC3">
        <w:rPr>
          <w:rFonts w:ascii="Times New Roman" w:hAnsi="Times New Roman" w:cs="Times New Roman"/>
          <w:sz w:val="24"/>
          <w:szCs w:val="24"/>
        </w:rPr>
        <w:t xml:space="preserve"> is anticipated to increase by 5.</w:t>
      </w:r>
      <w:r w:rsidR="005B3A2B">
        <w:rPr>
          <w:rFonts w:ascii="Times New Roman" w:hAnsi="Times New Roman" w:cs="Times New Roman"/>
          <w:sz w:val="24"/>
          <w:szCs w:val="24"/>
        </w:rPr>
        <w:t>12</w:t>
      </w:r>
      <w:r w:rsidR="00F10CC3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4D0738">
        <w:rPr>
          <w:rFonts w:ascii="Times New Roman" w:hAnsi="Times New Roman" w:cs="Times New Roman"/>
          <w:sz w:val="24"/>
          <w:szCs w:val="24"/>
        </w:rPr>
        <w:t xml:space="preserve">Around </w:t>
      </w:r>
      <w:r w:rsidR="005B3A2B">
        <w:rPr>
          <w:rFonts w:ascii="Times New Roman" w:hAnsi="Times New Roman" w:cs="Times New Roman"/>
          <w:sz w:val="24"/>
          <w:szCs w:val="24"/>
        </w:rPr>
        <w:t>463</w:t>
      </w:r>
      <w:r w:rsidR="004D0738">
        <w:rPr>
          <w:rFonts w:ascii="Times New Roman" w:hAnsi="Times New Roman" w:cs="Times New Roman"/>
          <w:sz w:val="24"/>
          <w:szCs w:val="24"/>
        </w:rPr>
        <w:t xml:space="preserve"> annual job o</w:t>
      </w:r>
      <w:r w:rsidR="005B3A2B">
        <w:rPr>
          <w:rFonts w:ascii="Times New Roman" w:hAnsi="Times New Roman" w:cs="Times New Roman"/>
          <w:sz w:val="24"/>
          <w:szCs w:val="24"/>
        </w:rPr>
        <w:t>penings are anticipated</w:t>
      </w:r>
      <w:r w:rsidR="00034048">
        <w:rPr>
          <w:rFonts w:ascii="Times New Roman" w:hAnsi="Times New Roman" w:cs="Times New Roman"/>
          <w:sz w:val="24"/>
          <w:szCs w:val="24"/>
        </w:rPr>
        <w:t xml:space="preserve"> in the occupational family</w:t>
      </w:r>
      <w:r w:rsidR="004D0738">
        <w:rPr>
          <w:rFonts w:ascii="Times New Roman" w:hAnsi="Times New Roman" w:cs="Times New Roman"/>
          <w:sz w:val="24"/>
          <w:szCs w:val="24"/>
        </w:rPr>
        <w:t>.</w:t>
      </w:r>
    </w:p>
    <w:p w:rsidR="000D6138" w:rsidRDefault="004D0738" w:rsidP="000D613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The </w:t>
      </w:r>
      <w:r w:rsidR="00F10CC3" w:rsidRPr="00F10CC3">
        <w:rPr>
          <w:rFonts w:ascii="Times New Roman" w:hAnsi="Times New Roman" w:cs="Times New Roman"/>
          <w:b/>
          <w:i/>
          <w:sz w:val="24"/>
          <w:szCs w:val="24"/>
        </w:rPr>
        <w:t>Media and Communication Workers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0D6138">
        <w:rPr>
          <w:rFonts w:ascii="Times New Roman" w:hAnsi="Times New Roman" w:cs="Times New Roman"/>
          <w:sz w:val="24"/>
          <w:szCs w:val="24"/>
        </w:rPr>
        <w:t xml:space="preserve">occupational family is estimated to increase employment by </w:t>
      </w:r>
      <w:r w:rsidR="005B3A2B">
        <w:rPr>
          <w:rFonts w:ascii="Times New Roman" w:hAnsi="Times New Roman" w:cs="Times New Roman"/>
          <w:sz w:val="24"/>
          <w:szCs w:val="24"/>
        </w:rPr>
        <w:t>63</w:t>
      </w:r>
      <w:r w:rsidRPr="000D6138">
        <w:rPr>
          <w:rFonts w:ascii="Times New Roman" w:hAnsi="Times New Roman" w:cs="Times New Roman"/>
          <w:sz w:val="24"/>
          <w:szCs w:val="24"/>
        </w:rPr>
        <w:t xml:space="preserve">, a gain of </w:t>
      </w:r>
      <w:r w:rsidR="00F10CC3">
        <w:rPr>
          <w:rFonts w:ascii="Times New Roman" w:hAnsi="Times New Roman" w:cs="Times New Roman"/>
          <w:sz w:val="24"/>
          <w:szCs w:val="24"/>
        </w:rPr>
        <w:t>1</w:t>
      </w:r>
      <w:r w:rsidRPr="000D6138">
        <w:rPr>
          <w:rFonts w:ascii="Times New Roman" w:hAnsi="Times New Roman" w:cs="Times New Roman"/>
          <w:sz w:val="24"/>
          <w:szCs w:val="24"/>
        </w:rPr>
        <w:t>.</w:t>
      </w:r>
      <w:r w:rsidR="005B3A2B">
        <w:rPr>
          <w:rFonts w:ascii="Times New Roman" w:hAnsi="Times New Roman" w:cs="Times New Roman"/>
          <w:sz w:val="24"/>
          <w:szCs w:val="24"/>
        </w:rPr>
        <w:t>50</w:t>
      </w:r>
      <w:r w:rsidRPr="000D6138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F10CC3" w:rsidRPr="00F10CC3">
        <w:rPr>
          <w:rFonts w:ascii="Times New Roman" w:hAnsi="Times New Roman" w:cs="Times New Roman"/>
          <w:sz w:val="24"/>
          <w:szCs w:val="24"/>
        </w:rPr>
        <w:t>Public Relations Specialists</w:t>
      </w:r>
      <w:r w:rsidR="00F10CC3">
        <w:rPr>
          <w:rFonts w:ascii="Times New Roman" w:hAnsi="Times New Roman" w:cs="Times New Roman"/>
          <w:sz w:val="24"/>
          <w:szCs w:val="24"/>
        </w:rPr>
        <w:t xml:space="preserve"> is slated to add </w:t>
      </w:r>
      <w:r w:rsidR="005B3A2B">
        <w:rPr>
          <w:rFonts w:ascii="Times New Roman" w:hAnsi="Times New Roman" w:cs="Times New Roman"/>
          <w:sz w:val="24"/>
          <w:szCs w:val="24"/>
        </w:rPr>
        <w:t>37 new jobs</w:t>
      </w:r>
      <w:r w:rsidR="00F10CC3">
        <w:rPr>
          <w:rFonts w:ascii="Times New Roman" w:hAnsi="Times New Roman" w:cs="Times New Roman"/>
          <w:sz w:val="24"/>
          <w:szCs w:val="24"/>
        </w:rPr>
        <w:t xml:space="preserve">, while </w:t>
      </w:r>
      <w:r w:rsidR="00F10CC3" w:rsidRPr="00F10CC3">
        <w:rPr>
          <w:rFonts w:ascii="Times New Roman" w:hAnsi="Times New Roman" w:cs="Times New Roman"/>
          <w:sz w:val="24"/>
          <w:szCs w:val="24"/>
        </w:rPr>
        <w:t>Technical Writers</w:t>
      </w:r>
      <w:r w:rsidR="00F10CC3">
        <w:rPr>
          <w:rFonts w:ascii="Times New Roman" w:hAnsi="Times New Roman" w:cs="Times New Roman"/>
          <w:sz w:val="24"/>
          <w:szCs w:val="24"/>
        </w:rPr>
        <w:t xml:space="preserve"> could increase employment by </w:t>
      </w:r>
      <w:r w:rsidR="005B3A2B">
        <w:rPr>
          <w:rFonts w:ascii="Times New Roman" w:hAnsi="Times New Roman" w:cs="Times New Roman"/>
          <w:sz w:val="24"/>
          <w:szCs w:val="24"/>
        </w:rPr>
        <w:t>6</w:t>
      </w:r>
      <w:r w:rsidR="00F10CC3">
        <w:rPr>
          <w:rFonts w:ascii="Times New Roman" w:hAnsi="Times New Roman" w:cs="Times New Roman"/>
          <w:sz w:val="24"/>
          <w:szCs w:val="24"/>
        </w:rPr>
        <w:t>.</w:t>
      </w:r>
      <w:r w:rsidR="005B3A2B">
        <w:rPr>
          <w:rFonts w:ascii="Times New Roman" w:hAnsi="Times New Roman" w:cs="Times New Roman"/>
          <w:sz w:val="24"/>
          <w:szCs w:val="24"/>
        </w:rPr>
        <w:t>47</w:t>
      </w:r>
      <w:r w:rsidR="00F10CC3">
        <w:rPr>
          <w:rFonts w:ascii="Times New Roman" w:hAnsi="Times New Roman" w:cs="Times New Roman"/>
          <w:sz w:val="24"/>
          <w:szCs w:val="24"/>
        </w:rPr>
        <w:t xml:space="preserve"> percent.  </w:t>
      </w:r>
      <w:r w:rsidR="005B3A2B">
        <w:rPr>
          <w:rFonts w:ascii="Times New Roman" w:hAnsi="Times New Roman" w:cs="Times New Roman"/>
          <w:sz w:val="24"/>
          <w:szCs w:val="24"/>
        </w:rPr>
        <w:t xml:space="preserve">On the negative side of the economy, </w:t>
      </w:r>
      <w:r w:rsidR="005B3A2B" w:rsidRPr="005B3A2B">
        <w:rPr>
          <w:rFonts w:ascii="Times New Roman" w:hAnsi="Times New Roman" w:cs="Times New Roman"/>
          <w:sz w:val="24"/>
          <w:szCs w:val="24"/>
        </w:rPr>
        <w:t>Reporters and Correspondents</w:t>
      </w:r>
      <w:r w:rsidR="005B3A2B">
        <w:rPr>
          <w:rFonts w:ascii="Times New Roman" w:hAnsi="Times New Roman" w:cs="Times New Roman"/>
          <w:sz w:val="24"/>
          <w:szCs w:val="24"/>
        </w:rPr>
        <w:t xml:space="preserve"> could lose 5.26 percent of its workforce, or 19 jobs.  </w:t>
      </w:r>
      <w:r w:rsidR="00F10CC3">
        <w:rPr>
          <w:rFonts w:ascii="Times New Roman" w:hAnsi="Times New Roman" w:cs="Times New Roman"/>
          <w:sz w:val="24"/>
          <w:szCs w:val="24"/>
        </w:rPr>
        <w:t>A</w:t>
      </w:r>
      <w:r w:rsidRPr="004D0738">
        <w:rPr>
          <w:rFonts w:ascii="Times New Roman" w:hAnsi="Times New Roman" w:cs="Times New Roman"/>
          <w:sz w:val="24"/>
          <w:szCs w:val="24"/>
        </w:rPr>
        <w:t>s a whole</w:t>
      </w:r>
      <w:r w:rsidR="00F10CC3">
        <w:rPr>
          <w:rFonts w:ascii="Times New Roman" w:hAnsi="Times New Roman" w:cs="Times New Roman"/>
          <w:sz w:val="24"/>
          <w:szCs w:val="24"/>
        </w:rPr>
        <w:t>,</w:t>
      </w:r>
      <w:r w:rsidRPr="004D0738">
        <w:rPr>
          <w:rFonts w:ascii="Times New Roman" w:hAnsi="Times New Roman" w:cs="Times New Roman"/>
          <w:sz w:val="24"/>
          <w:szCs w:val="24"/>
        </w:rPr>
        <w:t xml:space="preserve"> </w:t>
      </w:r>
      <w:r w:rsidR="00F10CC3" w:rsidRPr="00F10CC3">
        <w:rPr>
          <w:rFonts w:ascii="Times New Roman" w:hAnsi="Times New Roman" w:cs="Times New Roman"/>
          <w:b/>
          <w:i/>
          <w:sz w:val="24"/>
          <w:szCs w:val="24"/>
        </w:rPr>
        <w:t>Media and Communication Workers</w:t>
      </w:r>
      <w:r w:rsidR="00F10CC3" w:rsidRPr="004D0738">
        <w:rPr>
          <w:rFonts w:ascii="Times New Roman" w:hAnsi="Times New Roman" w:cs="Times New Roman"/>
          <w:sz w:val="24"/>
          <w:szCs w:val="24"/>
        </w:rPr>
        <w:t xml:space="preserve"> </w:t>
      </w:r>
      <w:r w:rsidRPr="004D0738">
        <w:rPr>
          <w:rFonts w:ascii="Times New Roman" w:hAnsi="Times New Roman" w:cs="Times New Roman"/>
          <w:sz w:val="24"/>
          <w:szCs w:val="24"/>
        </w:rPr>
        <w:t xml:space="preserve">is projected to have </w:t>
      </w:r>
      <w:r w:rsidR="005B3A2B">
        <w:rPr>
          <w:rFonts w:ascii="Times New Roman" w:hAnsi="Times New Roman" w:cs="Times New Roman"/>
          <w:sz w:val="24"/>
          <w:szCs w:val="24"/>
        </w:rPr>
        <w:t>430</w:t>
      </w:r>
      <w:r w:rsidRPr="004D0738">
        <w:rPr>
          <w:rFonts w:ascii="Times New Roman" w:hAnsi="Times New Roman" w:cs="Times New Roman"/>
          <w:sz w:val="24"/>
          <w:szCs w:val="24"/>
        </w:rPr>
        <w:t xml:space="preserve"> job openings annually.</w:t>
      </w:r>
    </w:p>
    <w:p w:rsidR="00C8302D" w:rsidRPr="00D747AB" w:rsidRDefault="00003B16" w:rsidP="00EF750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747AB">
        <w:rPr>
          <w:rFonts w:ascii="Times New Roman" w:hAnsi="Times New Roman" w:cs="Times New Roman"/>
          <w:sz w:val="24"/>
          <w:szCs w:val="24"/>
        </w:rPr>
        <w:t xml:space="preserve"> The </w:t>
      </w:r>
      <w:r w:rsidR="00D747AB" w:rsidRPr="00D747AB">
        <w:rPr>
          <w:rFonts w:ascii="Times New Roman" w:hAnsi="Times New Roman" w:cs="Times New Roman"/>
          <w:b/>
          <w:i/>
          <w:sz w:val="24"/>
          <w:szCs w:val="24"/>
        </w:rPr>
        <w:t>Media and Communication Equipment Workers</w:t>
      </w:r>
      <w:r w:rsidR="00D747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47AB" w:rsidRPr="00D747AB">
        <w:rPr>
          <w:rFonts w:ascii="Times New Roman" w:hAnsi="Times New Roman" w:cs="Times New Roman"/>
          <w:sz w:val="24"/>
          <w:szCs w:val="24"/>
        </w:rPr>
        <w:t>occupational family</w:t>
      </w:r>
      <w:r w:rsidR="00D747AB">
        <w:rPr>
          <w:rFonts w:ascii="Times New Roman" w:hAnsi="Times New Roman" w:cs="Times New Roman"/>
          <w:sz w:val="24"/>
          <w:szCs w:val="24"/>
        </w:rPr>
        <w:t xml:space="preserve"> is predicted to add 32 jobs to the economy, a 1.</w:t>
      </w:r>
      <w:r w:rsidR="005B3A2B">
        <w:rPr>
          <w:rFonts w:ascii="Times New Roman" w:hAnsi="Times New Roman" w:cs="Times New Roman"/>
          <w:sz w:val="24"/>
          <w:szCs w:val="24"/>
        </w:rPr>
        <w:t>56</w:t>
      </w:r>
      <w:r w:rsidR="00D747AB">
        <w:rPr>
          <w:rFonts w:ascii="Times New Roman" w:hAnsi="Times New Roman" w:cs="Times New Roman"/>
          <w:sz w:val="24"/>
          <w:szCs w:val="24"/>
        </w:rPr>
        <w:t xml:space="preserve"> percent increase.  </w:t>
      </w:r>
      <w:r w:rsidR="00D747AB" w:rsidRPr="00D747AB">
        <w:rPr>
          <w:rFonts w:ascii="Times New Roman" w:hAnsi="Times New Roman" w:cs="Times New Roman"/>
          <w:sz w:val="24"/>
          <w:szCs w:val="24"/>
        </w:rPr>
        <w:t>Audio and Video Equipment Technicians</w:t>
      </w:r>
      <w:r w:rsidR="00D747AB">
        <w:rPr>
          <w:rFonts w:ascii="Times New Roman" w:hAnsi="Times New Roman" w:cs="Times New Roman"/>
          <w:sz w:val="24"/>
          <w:szCs w:val="24"/>
        </w:rPr>
        <w:t xml:space="preserve"> is set to add </w:t>
      </w:r>
      <w:r w:rsidR="005B3A2B">
        <w:rPr>
          <w:rFonts w:ascii="Times New Roman" w:hAnsi="Times New Roman" w:cs="Times New Roman"/>
          <w:sz w:val="24"/>
          <w:szCs w:val="24"/>
        </w:rPr>
        <w:t>22</w:t>
      </w:r>
      <w:r w:rsidR="00D747AB">
        <w:rPr>
          <w:rFonts w:ascii="Times New Roman" w:hAnsi="Times New Roman" w:cs="Times New Roman"/>
          <w:sz w:val="24"/>
          <w:szCs w:val="24"/>
        </w:rPr>
        <w:t xml:space="preserve"> to its workforce, </w:t>
      </w:r>
      <w:r w:rsidR="005B3A2B">
        <w:rPr>
          <w:rFonts w:ascii="Times New Roman" w:hAnsi="Times New Roman" w:cs="Times New Roman"/>
          <w:sz w:val="24"/>
          <w:szCs w:val="24"/>
        </w:rPr>
        <w:t>a 5.82 percent gain.</w:t>
      </w:r>
      <w:r w:rsidR="00FD211D">
        <w:rPr>
          <w:rFonts w:ascii="Times New Roman" w:hAnsi="Times New Roman" w:cs="Times New Roman"/>
          <w:sz w:val="24"/>
          <w:szCs w:val="24"/>
        </w:rPr>
        <w:t xml:space="preserve">  The occupational family is estimated to have 1</w:t>
      </w:r>
      <w:r w:rsidR="00034048">
        <w:rPr>
          <w:rFonts w:ascii="Times New Roman" w:hAnsi="Times New Roman" w:cs="Times New Roman"/>
          <w:sz w:val="24"/>
          <w:szCs w:val="24"/>
        </w:rPr>
        <w:t>88</w:t>
      </w:r>
      <w:r w:rsidR="00FD211D">
        <w:rPr>
          <w:rFonts w:ascii="Times New Roman" w:hAnsi="Times New Roman" w:cs="Times New Roman"/>
          <w:sz w:val="24"/>
          <w:szCs w:val="24"/>
        </w:rPr>
        <w:t xml:space="preserve"> job openings annually.</w:t>
      </w:r>
      <w:r w:rsidR="00D747A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90AD7" w:rsidRPr="00CC2B88" w:rsidRDefault="007B4A77" w:rsidP="00EF750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 wp14:anchorId="7B368037" wp14:editId="74E1A993">
            <wp:extent cx="6005513" cy="3724275"/>
            <wp:effectExtent l="57150" t="57150" r="52705" b="47625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490AD7" w:rsidRDefault="00490AD7" w:rsidP="000960E8">
      <w:pPr>
        <w:rPr>
          <w:rFonts w:ascii="Times New Roman" w:hAnsi="Times New Roman" w:cs="Times New Roman"/>
          <w:sz w:val="24"/>
          <w:szCs w:val="24"/>
        </w:rPr>
      </w:pPr>
    </w:p>
    <w:p w:rsidR="003A4556" w:rsidRDefault="003A4556" w:rsidP="000960E8">
      <w:pPr>
        <w:rPr>
          <w:rFonts w:ascii="Times New Roman" w:hAnsi="Times New Roman" w:cs="Times New Roman"/>
          <w:sz w:val="24"/>
          <w:szCs w:val="24"/>
        </w:rPr>
      </w:pPr>
      <w:r w:rsidRPr="00A93823">
        <w:rPr>
          <w:noProof/>
        </w:rPr>
        <w:drawing>
          <wp:inline distT="0" distB="0" distL="0" distR="0" wp14:anchorId="6DFD8037" wp14:editId="312CA30F">
            <wp:extent cx="6600825" cy="3857625"/>
            <wp:effectExtent l="57150" t="57150" r="47625" b="47625"/>
            <wp:docPr id="5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F54BEC" w:rsidRDefault="00F54BEC" w:rsidP="00F54BE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63DA8" w:rsidRDefault="00CD7519" w:rsidP="00533CB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3CB2">
        <w:rPr>
          <w:rFonts w:ascii="Times New Roman" w:hAnsi="Times New Roman" w:cs="Times New Roman"/>
          <w:b/>
          <w:sz w:val="24"/>
          <w:szCs w:val="24"/>
        </w:rPr>
        <w:lastRenderedPageBreak/>
        <w:t>Workforce Development Area Outlook</w:t>
      </w:r>
      <w:r w:rsidR="00F76A6E" w:rsidRPr="00533CB2">
        <w:rPr>
          <w:rFonts w:ascii="Times New Roman" w:hAnsi="Times New Roman" w:cs="Times New Roman"/>
          <w:b/>
          <w:sz w:val="24"/>
          <w:szCs w:val="24"/>
        </w:rPr>
        <w:br/>
      </w:r>
      <w:r w:rsidR="00D747AB" w:rsidRPr="00533CB2">
        <w:rPr>
          <w:rFonts w:ascii="Times New Roman" w:hAnsi="Times New Roman" w:cs="Times New Roman"/>
          <w:b/>
          <w:sz w:val="24"/>
          <w:szCs w:val="24"/>
        </w:rPr>
        <w:t>Arts, Design, Entertainment, Sports, and Media Occupations</w:t>
      </w:r>
    </w:p>
    <w:tbl>
      <w:tblPr>
        <w:tblW w:w="11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5"/>
        <w:gridCol w:w="1328"/>
        <w:gridCol w:w="1328"/>
        <w:gridCol w:w="937"/>
        <w:gridCol w:w="877"/>
        <w:gridCol w:w="1106"/>
        <w:gridCol w:w="1106"/>
        <w:gridCol w:w="1106"/>
        <w:gridCol w:w="1106"/>
      </w:tblGrid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Workforce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Development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Area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034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="0003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18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Estimated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1328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03404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="0003404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20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Projected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Employment</w:t>
            </w:r>
          </w:p>
        </w:tc>
        <w:tc>
          <w:tcPr>
            <w:tcW w:w="937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Numeric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877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Percent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Exits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Transfers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Change</w:t>
            </w:r>
          </w:p>
        </w:tc>
        <w:tc>
          <w:tcPr>
            <w:tcW w:w="1106" w:type="dxa"/>
            <w:shd w:val="clear" w:color="auto" w:fill="auto"/>
            <w:noWrap/>
            <w:vAlign w:val="center"/>
            <w:hideMark/>
          </w:tcPr>
          <w:p w:rsidR="00F63DA8" w:rsidRPr="00F63DA8" w:rsidRDefault="00F63DA8" w:rsidP="00F32B1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t>Annual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Openings-</w:t>
            </w:r>
            <w:r w:rsidRPr="00F63DA8">
              <w:rPr>
                <w:rFonts w:ascii="Arial" w:eastAsia="Times New Roman" w:hAnsi="Arial" w:cs="Arial"/>
                <w:b/>
                <w:color w:val="000000"/>
                <w:sz w:val="18"/>
                <w:szCs w:val="18"/>
              </w:rPr>
              <w:br/>
              <w:t>Total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916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3.4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547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628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624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Northeast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846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2.9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49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95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903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907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0.44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35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West 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057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086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29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2.74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Central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999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053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2.70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87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232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City of Little Rock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282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,</w:t>
            </w: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335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1.61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132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187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345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Eastern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245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243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-2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-0.8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16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25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  <w:hideMark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Southwest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530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521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-9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-1.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70%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21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28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45</w:t>
            </w:r>
          </w:p>
        </w:tc>
      </w:tr>
      <w:tr w:rsidR="00F63DA8" w:rsidRPr="00F63DA8" w:rsidTr="00F63DA8">
        <w:trPr>
          <w:trHeight w:val="255"/>
        </w:trPr>
        <w:tc>
          <w:tcPr>
            <w:tcW w:w="2155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Southeast Arkansas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328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594</w:t>
            </w:r>
          </w:p>
        </w:tc>
        <w:tc>
          <w:tcPr>
            <w:tcW w:w="93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-6</w:t>
            </w:r>
          </w:p>
        </w:tc>
        <w:tc>
          <w:tcPr>
            <w:tcW w:w="877" w:type="dxa"/>
            <w:shd w:val="clear" w:color="auto" w:fill="auto"/>
            <w:noWrap/>
            <w:vAlign w:val="bottom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-1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.00%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34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-3</w:t>
            </w:r>
          </w:p>
        </w:tc>
        <w:tc>
          <w:tcPr>
            <w:tcW w:w="1106" w:type="dxa"/>
            <w:shd w:val="clear" w:color="auto" w:fill="auto"/>
            <w:noWrap/>
            <w:vAlign w:val="center"/>
          </w:tcPr>
          <w:p w:rsidR="00F63DA8" w:rsidRPr="00F63DA8" w:rsidRDefault="00F63DA8" w:rsidP="00F63DA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F63D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54</w:t>
            </w:r>
          </w:p>
        </w:tc>
      </w:tr>
    </w:tbl>
    <w:p w:rsidR="00CD7519" w:rsidRPr="00533CB2" w:rsidRDefault="00D747AB" w:rsidP="00533CB2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33CB2" w:rsidRPr="00D935FB" w:rsidRDefault="00533CB2" w:rsidP="00CD751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33CB2" w:rsidRPr="00D935FB" w:rsidSect="00EF7503">
      <w:pgSz w:w="12240" w:h="15840"/>
      <w:pgMar w:top="720" w:right="144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AD7"/>
    <w:rsid w:val="00003B16"/>
    <w:rsid w:val="00034048"/>
    <w:rsid w:val="00035EEF"/>
    <w:rsid w:val="000429F7"/>
    <w:rsid w:val="00066B43"/>
    <w:rsid w:val="00070BD4"/>
    <w:rsid w:val="000960E8"/>
    <w:rsid w:val="000D6138"/>
    <w:rsid w:val="00154FDA"/>
    <w:rsid w:val="0029218E"/>
    <w:rsid w:val="002E0A24"/>
    <w:rsid w:val="003369C7"/>
    <w:rsid w:val="003A4556"/>
    <w:rsid w:val="003A6F63"/>
    <w:rsid w:val="00440DB3"/>
    <w:rsid w:val="00457BC4"/>
    <w:rsid w:val="00490AD7"/>
    <w:rsid w:val="004D0738"/>
    <w:rsid w:val="00504AAD"/>
    <w:rsid w:val="00533CB2"/>
    <w:rsid w:val="00580031"/>
    <w:rsid w:val="005B3A2B"/>
    <w:rsid w:val="005F6BBA"/>
    <w:rsid w:val="006468CA"/>
    <w:rsid w:val="007104B3"/>
    <w:rsid w:val="00752A6F"/>
    <w:rsid w:val="00773BB3"/>
    <w:rsid w:val="007B4A77"/>
    <w:rsid w:val="00A304F2"/>
    <w:rsid w:val="00A903FA"/>
    <w:rsid w:val="00AF4491"/>
    <w:rsid w:val="00B35C25"/>
    <w:rsid w:val="00B4793D"/>
    <w:rsid w:val="00BE0E5F"/>
    <w:rsid w:val="00C8302D"/>
    <w:rsid w:val="00CC2B88"/>
    <w:rsid w:val="00CD7519"/>
    <w:rsid w:val="00CE1B52"/>
    <w:rsid w:val="00CF53CC"/>
    <w:rsid w:val="00D257C2"/>
    <w:rsid w:val="00D747AB"/>
    <w:rsid w:val="00D935FB"/>
    <w:rsid w:val="00DD57DA"/>
    <w:rsid w:val="00E61819"/>
    <w:rsid w:val="00EC493B"/>
    <w:rsid w:val="00EF1764"/>
    <w:rsid w:val="00EF6C8A"/>
    <w:rsid w:val="00EF7503"/>
    <w:rsid w:val="00F10CC3"/>
    <w:rsid w:val="00F127EA"/>
    <w:rsid w:val="00F54BEC"/>
    <w:rsid w:val="00F63DA8"/>
    <w:rsid w:val="00F6628A"/>
    <w:rsid w:val="00F76A6E"/>
    <w:rsid w:val="00FA0B7E"/>
    <w:rsid w:val="00FB210B"/>
    <w:rsid w:val="00FC250B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B78BD6-4095-43F4-96F3-813819E19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490AD7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490AD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30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302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D7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4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8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algn="ctr">
              <a:defRPr sz="1400" b="1" i="0" u="none" strike="noStrike" kern="1200" spc="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r>
              <a:rPr lang="en-US" b="1"/>
              <a:t>Percent Change by Occupational Family</a:t>
            </a:r>
            <a:br>
              <a:rPr lang="en-US" b="1"/>
            </a:br>
            <a:r>
              <a:rPr lang="en-US" b="1"/>
              <a:t>Arts, Design, Entertainment,</a:t>
            </a:r>
            <a:r>
              <a:rPr lang="en-US" b="1" baseline="0"/>
              <a:t> Sports, and Media</a:t>
            </a:r>
            <a:r>
              <a:rPr lang="en-US" b="1"/>
              <a:t> Occupations</a:t>
            </a:r>
          </a:p>
        </c:rich>
      </c:tx>
      <c:layout>
        <c:manualLayout>
          <c:xMode val="edge"/>
          <c:yMode val="edge"/>
          <c:x val="0.13576178625340224"/>
          <c:y val="3.16649549241127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algn="ctr">
            <a:defRPr sz="1400" b="1" i="0" u="none" strike="noStrike" kern="1200" spc="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Art and Design Workers (27-1000)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5.0296451655608186E-3"/>
                  <c:y val="9.50453443958890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</c:f>
              <c:strCache>
                <c:ptCount val="1"/>
                <c:pt idx="0">
                  <c:v>Arts, Design, Entertainment, Sports, and Media Occupations</c:v>
                </c:pt>
              </c:strCache>
            </c:strRef>
          </c:cat>
          <c:val>
            <c:numRef>
              <c:f>Sheet1!$B$2</c:f>
              <c:numCache>
                <c:formatCode>General</c:formatCode>
                <c:ptCount val="1"/>
                <c:pt idx="0">
                  <c:v>2.1600000000000001E-2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Entertainers and Performers, Sports and Related Workers (27-2000)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4.429664648691752E-3"/>
                  <c:y val="0.28843412476253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Arts, Design, Entertainment, Sports, and Media Occupations</c:v>
                </c:pt>
              </c:strCache>
            </c:strRef>
          </c:cat>
          <c:val>
            <c:numRef>
              <c:f>Sheet1!$C$2</c:f>
              <c:numCache>
                <c:formatCode>General</c:formatCode>
                <c:ptCount val="1"/>
                <c:pt idx="0">
                  <c:v>3.2599999999999997E-2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Media and Communication Workers (27-3000)</c:v>
                </c:pt>
              </c:strCache>
            </c:strRef>
          </c:tx>
          <c:spPr>
            <a:solidFill>
              <a:schemeClr val="accent6">
                <a:lumMod val="60000"/>
                <a:lumOff val="40000"/>
              </a:schemeClr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2.1148355715343132E-3"/>
                  <c:y val="0.1213412006363654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Arts, Design, Entertainment, Sports, and Media Occupations</c:v>
                </c:pt>
              </c:strCache>
            </c:strRef>
          </c:cat>
          <c:val>
            <c:numRef>
              <c:f>Sheet1!$D$2</c:f>
              <c:numCache>
                <c:formatCode>General</c:formatCode>
                <c:ptCount val="1"/>
                <c:pt idx="0">
                  <c:v>1.4999999999999999E-2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Media and Communication Equipment Workers (27-4000)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  <a:sp3d/>
          </c:spPr>
          <c:invertIfNegative val="0"/>
          <c:dLbls>
            <c:dLbl>
              <c:idx val="0"/>
              <c:layout>
                <c:manualLayout>
                  <c:x val="-7.7543075172036758E-17"/>
                  <c:y val="0.1057118499573743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numFmt formatCode="0.0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dk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</c:f>
              <c:strCache>
                <c:ptCount val="1"/>
                <c:pt idx="0">
                  <c:v>Arts, Design, Entertainment, Sports, and Media Occupations</c:v>
                </c:pt>
              </c:strCache>
            </c:strRef>
          </c:cat>
          <c:val>
            <c:numRef>
              <c:f>Sheet1!$E$2</c:f>
              <c:numCache>
                <c:formatCode>General</c:formatCode>
                <c:ptCount val="1"/>
                <c:pt idx="0">
                  <c:v>1.5599999999999999E-2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749021424"/>
        <c:axId val="749021984"/>
        <c:axId val="0"/>
      </c:bar3DChart>
      <c:catAx>
        <c:axId val="749021424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low"/>
        <c:crossAx val="749021984"/>
        <c:crosses val="autoZero"/>
        <c:auto val="1"/>
        <c:lblAlgn val="ctr"/>
        <c:lblOffset val="100"/>
        <c:noMultiLvlLbl val="0"/>
      </c:catAx>
      <c:valAx>
        <c:axId val="7490219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dk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74902142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1" i="0" u="none" strike="noStrike" kern="1200" baseline="0">
              <a:solidFill>
                <a:schemeClr val="dk1"/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  <a:round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sz="1600"/>
              <a:t>Annual Job Openings by Occupational Family</a:t>
            </a:r>
          </a:p>
        </c:rich>
      </c:tx>
      <c:layout>
        <c:manualLayout>
          <c:xMode val="edge"/>
          <c:yMode val="edge"/>
          <c:x val="0.16156450140702108"/>
          <c:y val="3.63021289005541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593941382327214"/>
          <c:y val="0.20009591393668383"/>
          <c:w val="0.6715677785517572"/>
          <c:h val="0.51492070898545095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Exits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Art and Design Workers (27-1000)</c:v>
                </c:pt>
                <c:pt idx="1">
                  <c:v>Entertainers and Performers, Sports and Related Workers              (27-2000)</c:v>
                </c:pt>
                <c:pt idx="2">
                  <c:v>Media and Communication Workers (27-3000)</c:v>
                </c:pt>
                <c:pt idx="3">
                  <c:v>Media and Communication Equipment Workers (27-4000)</c:v>
                </c:pt>
              </c:strCache>
            </c:strRef>
          </c:cat>
          <c:val>
            <c:numRef>
              <c:f>Sheet1!$B$2:$B$5</c:f>
              <c:numCache>
                <c:formatCode>#,##0</c:formatCode>
                <c:ptCount val="4"/>
                <c:pt idx="0">
                  <c:v>199</c:v>
                </c:pt>
                <c:pt idx="1">
                  <c:v>178</c:v>
                </c:pt>
                <c:pt idx="2">
                  <c:v>146</c:v>
                </c:pt>
                <c:pt idx="3">
                  <c:v>76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Transfers</c:v>
                </c:pt>
              </c:strCache>
            </c:strRef>
          </c:tx>
          <c:invertIfNegative val="0"/>
          <c:cat>
            <c:strRef>
              <c:f>Sheet1!$A$2:$A$5</c:f>
              <c:strCache>
                <c:ptCount val="4"/>
                <c:pt idx="0">
                  <c:v>Art and Design Workers (27-1000)</c:v>
                </c:pt>
                <c:pt idx="1">
                  <c:v>Entertainers and Performers, Sports and Related Workers              (27-2000)</c:v>
                </c:pt>
                <c:pt idx="2">
                  <c:v>Media and Communication Workers (27-3000)</c:v>
                </c:pt>
                <c:pt idx="3">
                  <c:v>Media and Communication Equipment Workers (27-4000)</c:v>
                </c:pt>
              </c:strCache>
            </c:strRef>
          </c:cat>
          <c:val>
            <c:numRef>
              <c:f>Sheet1!$C$2:$C$5</c:f>
              <c:numCache>
                <c:formatCode>#,##0</c:formatCode>
                <c:ptCount val="4"/>
                <c:pt idx="0">
                  <c:v>278</c:v>
                </c:pt>
                <c:pt idx="1">
                  <c:v>229</c:v>
                </c:pt>
                <c:pt idx="2">
                  <c:v>252</c:v>
                </c:pt>
                <c:pt idx="3">
                  <c:v>96</c:v>
                </c:pt>
              </c:numCache>
            </c:numRef>
          </c:val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Growth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cat>
            <c:strRef>
              <c:f>Sheet1!$A$2:$A$5</c:f>
              <c:strCache>
                <c:ptCount val="4"/>
                <c:pt idx="0">
                  <c:v>Art and Design Workers (27-1000)</c:v>
                </c:pt>
                <c:pt idx="1">
                  <c:v>Entertainers and Performers, Sports and Related Workers              (27-2000)</c:v>
                </c:pt>
                <c:pt idx="2">
                  <c:v>Media and Communication Workers (27-3000)</c:v>
                </c:pt>
                <c:pt idx="3">
                  <c:v>Media and Communication Equipment Workers (27-4000)</c:v>
                </c:pt>
              </c:strCache>
            </c:strRef>
          </c:cat>
          <c:val>
            <c:numRef>
              <c:f>Sheet1!$D$2:$D$5</c:f>
              <c:numCache>
                <c:formatCode>#,##0</c:formatCode>
                <c:ptCount val="4"/>
                <c:pt idx="0">
                  <c:v>57</c:v>
                </c:pt>
                <c:pt idx="1">
                  <c:v>56</c:v>
                </c:pt>
                <c:pt idx="2">
                  <c:v>32</c:v>
                </c:pt>
                <c:pt idx="3">
                  <c:v>16</c:v>
                </c:pt>
              </c:numCache>
            </c:numRef>
          </c:val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Total</c:v>
                </c:pt>
              </c:strCache>
            </c:strRef>
          </c:tx>
          <c:spPr>
            <a:noFill/>
          </c:spPr>
          <c:invertIfNegative val="0"/>
          <c:dLbls>
            <c:dLbl>
              <c:idx val="0"/>
              <c:layout>
                <c:manualLayout>
                  <c:x val="-8.0412675688266239E-2"/>
                  <c:y val="5.272674249052231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2"/>
              <c:layout>
                <c:manualLayout>
                  <c:x val="-0.17273507478231886"/>
                  <c:y val="3.292051456530957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3.722943722943723E-2"/>
                      <c:h val="3.6856096691617241E-2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7.8004340366545161E-2"/>
                  <c:y val="-3.2118207446291437E-3"/>
                </c:manualLayout>
              </c:layout>
              <c:dLblPos val="ct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</c:ext>
            </c:extLst>
          </c:dLbls>
          <c:cat>
            <c:strRef>
              <c:f>Sheet1!$A$2:$A$5</c:f>
              <c:strCache>
                <c:ptCount val="4"/>
                <c:pt idx="0">
                  <c:v>Art and Design Workers (27-1000)</c:v>
                </c:pt>
                <c:pt idx="1">
                  <c:v>Entertainers and Performers, Sports and Related Workers              (27-2000)</c:v>
                </c:pt>
                <c:pt idx="2">
                  <c:v>Media and Communication Workers (27-3000)</c:v>
                </c:pt>
                <c:pt idx="3">
                  <c:v>Media and Communication Equipment Workers (27-4000)</c:v>
                </c:pt>
              </c:strCache>
            </c:strRef>
          </c:cat>
          <c:val>
            <c:numRef>
              <c:f>Sheet1!$E$2:$E$5</c:f>
              <c:numCache>
                <c:formatCode>#,##0</c:formatCode>
                <c:ptCount val="4"/>
                <c:pt idx="0">
                  <c:v>534</c:v>
                </c:pt>
                <c:pt idx="1">
                  <c:v>463</c:v>
                </c:pt>
                <c:pt idx="2">
                  <c:v>430</c:v>
                </c:pt>
                <c:pt idx="3">
                  <c:v>188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overlap val="100"/>
        <c:axId val="751940352"/>
        <c:axId val="751940912"/>
      </c:barChart>
      <c:catAx>
        <c:axId val="751940352"/>
        <c:scaling>
          <c:orientation val="maxMin"/>
        </c:scaling>
        <c:delete val="0"/>
        <c:axPos val="l"/>
        <c:numFmt formatCode="General" sourceLinked="0"/>
        <c:majorTickMark val="out"/>
        <c:minorTickMark val="none"/>
        <c:tickLblPos val="nextTo"/>
        <c:spPr>
          <a:ln/>
        </c:spPr>
        <c:txPr>
          <a:bodyPr rot="0" vert="horz" anchor="ctr" anchorCtr="1"/>
          <a:lstStyle/>
          <a:p>
            <a:pPr>
              <a:defRPr/>
            </a:pPr>
            <a:endParaRPr lang="en-US"/>
          </a:p>
        </c:txPr>
        <c:crossAx val="751940912"/>
        <c:crossesAt val="0"/>
        <c:auto val="1"/>
        <c:lblAlgn val="ctr"/>
        <c:lblOffset val="100"/>
        <c:tickLblSkip val="1"/>
        <c:noMultiLvlLbl val="0"/>
      </c:catAx>
      <c:valAx>
        <c:axId val="751940912"/>
        <c:scaling>
          <c:orientation val="minMax"/>
          <c:max val="600"/>
          <c:min val="0"/>
        </c:scaling>
        <c:delete val="0"/>
        <c:axPos val="t"/>
        <c:majorGridlines/>
        <c:numFmt formatCode="#,##0" sourceLinked="1"/>
        <c:majorTickMark val="none"/>
        <c:minorTickMark val="none"/>
        <c:tickLblPos val="nextTo"/>
        <c:spPr>
          <a:ln w="9525">
            <a:noFill/>
          </a:ln>
        </c:spPr>
        <c:crossAx val="751940352"/>
        <c:crosses val="autoZero"/>
        <c:crossBetween val="between"/>
        <c:majorUnit val="150"/>
      </c:valAx>
      <c:spPr>
        <a:noFill/>
        <a:ln w="25400" cap="flat" cmpd="sng" algn="ctr">
          <a:solidFill>
            <a:schemeClr val="dk1"/>
          </a:solidFill>
          <a:prstDash val="solid"/>
        </a:ln>
        <a:effectLst/>
      </c:spPr>
    </c:plotArea>
    <c:legend>
      <c:legendPos val="b"/>
      <c:layout>
        <c:manualLayout>
          <c:xMode val="edge"/>
          <c:yMode val="edge"/>
          <c:x val="0.37108255407468005"/>
          <c:y val="0.80492012572502514"/>
          <c:w val="0.36043025871766027"/>
          <c:h val="6.518902902180207E-2"/>
        </c:manualLayout>
      </c:layout>
      <c:overlay val="0"/>
      <c:txPr>
        <a:bodyPr/>
        <a:lstStyle/>
        <a:p>
          <a:pPr>
            <a:defRPr sz="1000"/>
          </a:pPr>
          <a:endParaRPr lang="en-US"/>
        </a:p>
      </c:txPr>
    </c:legend>
    <c:plotVisOnly val="1"/>
    <c:dispBlanksAs val="gap"/>
    <c:showDLblsOverMax val="0"/>
  </c:chart>
  <c:spPr>
    <a:solidFill>
      <a:schemeClr val="lt1"/>
    </a:solidFill>
    <a:ln w="104775" cap="flat" cmpd="sng" algn="ctr">
      <a:solidFill>
        <a:schemeClr val="accent2">
          <a:lumMod val="50000"/>
        </a:schemeClr>
      </a:solidFill>
      <a:prstDash val="solid"/>
    </a:ln>
    <a:effectLst/>
  </c:spPr>
  <c:txPr>
    <a:bodyPr/>
    <a:lstStyle/>
    <a:p>
      <a:pPr>
        <a:defRPr sz="800" b="1">
          <a:solidFill>
            <a:schemeClr val="dk1"/>
          </a:solidFill>
          <a:latin typeface="Arial" pitchFamily="34" charset="0"/>
          <a:ea typeface="+mn-ea"/>
          <a:cs typeface="Arial" pitchFamily="34" charset="0"/>
        </a:defRPr>
      </a:pPr>
      <a:endParaRPr lang="en-US"/>
    </a:p>
  </c:txPr>
  <c:externalData r:id="rId1">
    <c:autoUpdate val="0"/>
  </c:externalData>
  <c:userShapes r:id="rId2"/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0.46898</cdr:x>
      <cdr:y>0.89394</cdr:y>
    </cdr:from>
    <cdr:to>
      <cdr:x>1</cdr:x>
      <cdr:y>0.98025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3095626" y="3448485"/>
          <a:ext cx="3505199" cy="3329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sz="1200" b="1">
              <a:latin typeface="Arial" pitchFamily="34" charset="0"/>
              <a:cs typeface="Arial" pitchFamily="34" charset="0"/>
            </a:rPr>
            <a:t>*</a:t>
          </a:r>
          <a:r>
            <a:rPr lang="en-US" sz="1000" b="1">
              <a:latin typeface="Arial" pitchFamily="34" charset="0"/>
              <a:cs typeface="Arial" pitchFamily="34" charset="0"/>
            </a:rPr>
            <a:t>Numbers in black represent Total Annual Openings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C548A-DEBE-466D-BB6C-5CE5CCB81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537</TotalTime>
  <Pages>3</Pages>
  <Words>394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Pulliam</dc:creator>
  <cp:keywords/>
  <dc:description/>
  <cp:lastModifiedBy>Brian Pulliam</cp:lastModifiedBy>
  <cp:revision>23</cp:revision>
  <cp:lastPrinted>2017-07-17T20:28:00Z</cp:lastPrinted>
  <dcterms:created xsi:type="dcterms:W3CDTF">2016-08-09T16:00:00Z</dcterms:created>
  <dcterms:modified xsi:type="dcterms:W3CDTF">2019-08-12T14:59:00Z</dcterms:modified>
</cp:coreProperties>
</file>