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BF125E" w:rsidRDefault="00BF125E" w:rsidP="007E7D5D">
      <w:pPr>
        <w:rPr>
          <w:rFonts w:ascii="Times New Roman" w:hAnsi="Times New Roman" w:cs="Times New Roman"/>
          <w:b/>
          <w:sz w:val="24"/>
          <w:szCs w:val="24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1009650</wp:posOffset>
                </wp:positionH>
                <wp:positionV relativeFrom="margin">
                  <wp:posOffset>748665</wp:posOffset>
                </wp:positionV>
                <wp:extent cx="5343525" cy="174307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1743075"/>
                          <a:chOff x="-5850" y="-74305"/>
                          <a:chExt cx="2152753" cy="213200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4244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BF125E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(201</w:t>
                              </w:r>
                              <w:r w:rsidR="007E7D5D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D935FB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7E7D5D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546372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2.81</w:t>
                              </w:r>
                              <w:r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2D43FF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>Biggest Gain:  Lawyers (23-1011)</w:t>
                              </w:r>
                              <w:r w:rsidR="00C879B1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C879B1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E7D5D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78</w:t>
                              </w:r>
                              <w:r w:rsidR="000429F7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7E7D5D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Title Examiners, Abstractors, and Searchers</w:t>
                              </w:r>
                              <w:r w:rsidR="002D43FF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(23-20</w:t>
                              </w:r>
                              <w:r w:rsidR="007E7D5D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93</w:t>
                              </w:r>
                              <w:r w:rsidR="002D43FF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0429F7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7E7D5D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5.</w:t>
                              </w:r>
                              <w:r w:rsidR="002D43FF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7E7D5D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0429F7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0429F7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and Fastest Loser:   </w:t>
                              </w:r>
                              <w:r w:rsidR="007E7D5D" w:rsidRPr="00BF125E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None</w:t>
                              </w:r>
                            </w:p>
                            <w:p w:rsidR="007E7D5D" w:rsidRDefault="007E7D5D"/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7E7D5D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7E7D5D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7E7D5D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A0D3D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2018</w:t>
                              </w:r>
                              <w:r w:rsidR="0029218E" w:rsidRPr="007E7D5D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-20</w:t>
                              </w:r>
                              <w:r w:rsidR="007A0D3D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79.5pt;margin-top:58.95pt;width:420.75pt;height:137.25pt;z-index:-251658240;mso-wrap-distance-left:18pt;mso-wrap-distance-right:18pt;mso-position-horizontal-relative:margin;mso-position-vertical-relative:margin;mso-width-relative:margin;mso-height-relative:margin" coordorigin="-58,-743" coordsize="21527,2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BF125E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(201</w:t>
                        </w:r>
                        <w:r w:rsidR="007E7D5D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</w:t>
                        </w:r>
                        <w:r w:rsidR="00D935FB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7E7D5D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546372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2.81</w:t>
                        </w:r>
                        <w:r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2D43FF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>Biggest Gain:  Lawyers (23-1011)</w:t>
                        </w:r>
                        <w:r w:rsidR="00C879B1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C879B1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E7D5D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78</w:t>
                        </w:r>
                        <w:r w:rsidR="000429F7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7E7D5D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Title Examiners, Abstractors, and Searchers</w:t>
                        </w:r>
                        <w:r w:rsidR="002D43FF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(23-20</w:t>
                        </w:r>
                        <w:r w:rsidR="007E7D5D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93</w:t>
                        </w:r>
                        <w:r w:rsidR="002D43FF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0429F7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7E7D5D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5.</w:t>
                        </w:r>
                        <w:r w:rsidR="002D43FF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 w:rsidR="007E7D5D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0</w:t>
                        </w:r>
                        <w:r w:rsidR="000429F7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0429F7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and Fastest Loser:   </w:t>
                        </w:r>
                        <w:r w:rsidR="007E7D5D" w:rsidRPr="00BF125E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None</w:t>
                        </w:r>
                      </w:p>
                      <w:p w:rsidR="007E7D5D" w:rsidRDefault="007E7D5D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7E7D5D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7E7D5D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7E7D5D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="007A0D3D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2018</w:t>
                        </w:r>
                        <w:r w:rsidR="0029218E" w:rsidRPr="007E7D5D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-20</w:t>
                        </w:r>
                        <w:r w:rsidR="007A0D3D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7E7D5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42937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D5D" w:rsidRPr="007E7D5D" w:rsidRDefault="007E7D5D" w:rsidP="007E7D5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E7D5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Legal Occupations (23-0000)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6pt;margin-top:0;width:506.2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" fillcolor="#823b0b [1605]">
                <v:textbox>
                  <w:txbxContent>
                    <w:p w:rsidR="007E7D5D" w:rsidRPr="007E7D5D" w:rsidRDefault="007E7D5D" w:rsidP="007E7D5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E7D5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Legal Occupations (23-0000)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4603">
        <w:rPr>
          <w:rFonts w:ascii="Times New Roman" w:hAnsi="Times New Roman" w:cs="Times New Roman"/>
          <w:b/>
          <w:sz w:val="24"/>
          <w:szCs w:val="24"/>
        </w:rPr>
        <w:t>Legal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114603">
        <w:rPr>
          <w:rFonts w:ascii="Times New Roman" w:hAnsi="Times New Roman" w:cs="Times New Roman"/>
          <w:sz w:val="24"/>
          <w:szCs w:val="24"/>
        </w:rPr>
        <w:t>2</w:t>
      </w:r>
      <w:r w:rsidR="00546372">
        <w:rPr>
          <w:rFonts w:ascii="Times New Roman" w:hAnsi="Times New Roman" w:cs="Times New Roman"/>
          <w:sz w:val="24"/>
          <w:szCs w:val="24"/>
        </w:rPr>
        <w:t>14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7E7D5D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546372">
        <w:rPr>
          <w:rFonts w:ascii="Times New Roman" w:hAnsi="Times New Roman" w:cs="Times New Roman"/>
          <w:sz w:val="24"/>
          <w:szCs w:val="24"/>
        </w:rPr>
        <w:t>81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114603">
        <w:rPr>
          <w:rFonts w:ascii="Times New Roman" w:hAnsi="Times New Roman" w:cs="Times New Roman"/>
          <w:sz w:val="24"/>
          <w:szCs w:val="24"/>
        </w:rPr>
        <w:t>The major group is anticipating the fewest annual openings in the state with 5</w:t>
      </w:r>
      <w:r w:rsidR="00546372">
        <w:rPr>
          <w:rFonts w:ascii="Times New Roman" w:hAnsi="Times New Roman" w:cs="Times New Roman"/>
          <w:sz w:val="24"/>
          <w:szCs w:val="24"/>
        </w:rPr>
        <w:t>8</w:t>
      </w:r>
      <w:r w:rsidR="00114603">
        <w:rPr>
          <w:rFonts w:ascii="Times New Roman" w:hAnsi="Times New Roman" w:cs="Times New Roman"/>
          <w:sz w:val="24"/>
          <w:szCs w:val="24"/>
        </w:rPr>
        <w:t>8 between 201</w:t>
      </w:r>
      <w:r w:rsidR="00546372">
        <w:rPr>
          <w:rFonts w:ascii="Times New Roman" w:hAnsi="Times New Roman" w:cs="Times New Roman"/>
          <w:sz w:val="24"/>
          <w:szCs w:val="24"/>
        </w:rPr>
        <w:t>8</w:t>
      </w:r>
      <w:r w:rsidR="00114603">
        <w:rPr>
          <w:rFonts w:ascii="Times New Roman" w:hAnsi="Times New Roman" w:cs="Times New Roman"/>
          <w:sz w:val="24"/>
          <w:szCs w:val="24"/>
        </w:rPr>
        <w:t xml:space="preserve"> and 20</w:t>
      </w:r>
      <w:r w:rsidR="00546372">
        <w:rPr>
          <w:rFonts w:ascii="Times New Roman" w:hAnsi="Times New Roman" w:cs="Times New Roman"/>
          <w:sz w:val="24"/>
          <w:szCs w:val="24"/>
        </w:rPr>
        <w:t>20</w:t>
      </w:r>
      <w:r w:rsidR="00114603">
        <w:rPr>
          <w:rFonts w:ascii="Times New Roman" w:hAnsi="Times New Roman" w:cs="Times New Roman"/>
          <w:sz w:val="24"/>
          <w:szCs w:val="24"/>
        </w:rPr>
        <w:t xml:space="preserve">.  </w:t>
      </w:r>
      <w:r w:rsidR="00773BB3">
        <w:rPr>
          <w:rFonts w:ascii="Times New Roman" w:hAnsi="Times New Roman" w:cs="Times New Roman"/>
          <w:sz w:val="24"/>
          <w:szCs w:val="24"/>
        </w:rPr>
        <w:t>Of the</w:t>
      </w:r>
      <w:r w:rsidR="00114603">
        <w:rPr>
          <w:rFonts w:ascii="Times New Roman" w:hAnsi="Times New Roman" w:cs="Times New Roman"/>
          <w:sz w:val="24"/>
          <w:szCs w:val="24"/>
        </w:rPr>
        <w:t>se, 19</w:t>
      </w:r>
      <w:r w:rsidR="00546372">
        <w:rPr>
          <w:rFonts w:ascii="Times New Roman" w:hAnsi="Times New Roman" w:cs="Times New Roman"/>
          <w:sz w:val="24"/>
          <w:szCs w:val="24"/>
        </w:rPr>
        <w:t>8</w:t>
      </w:r>
      <w:r w:rsidR="00114603">
        <w:rPr>
          <w:rFonts w:ascii="Times New Roman" w:hAnsi="Times New Roman" w:cs="Times New Roman"/>
          <w:sz w:val="24"/>
          <w:szCs w:val="24"/>
        </w:rPr>
        <w:t xml:space="preserve"> would be for those exiting the workforce and 2</w:t>
      </w:r>
      <w:r w:rsidR="00546372">
        <w:rPr>
          <w:rFonts w:ascii="Times New Roman" w:hAnsi="Times New Roman" w:cs="Times New Roman"/>
          <w:sz w:val="24"/>
          <w:szCs w:val="24"/>
        </w:rPr>
        <w:t>83</w:t>
      </w:r>
      <w:r w:rsidR="00114603">
        <w:rPr>
          <w:rFonts w:ascii="Times New Roman" w:hAnsi="Times New Roman" w:cs="Times New Roman"/>
          <w:sz w:val="24"/>
          <w:szCs w:val="24"/>
        </w:rPr>
        <w:t xml:space="preserve"> for those transferring or changing jobs</w:t>
      </w:r>
      <w:r w:rsidR="00773BB3">
        <w:rPr>
          <w:rFonts w:ascii="Times New Roman" w:hAnsi="Times New Roman" w:cs="Times New Roman"/>
          <w:sz w:val="24"/>
          <w:szCs w:val="24"/>
        </w:rPr>
        <w:t xml:space="preserve">.  Growth and expansion accounts for </w:t>
      </w:r>
      <w:r w:rsidR="00114603">
        <w:rPr>
          <w:rFonts w:ascii="Times New Roman" w:hAnsi="Times New Roman" w:cs="Times New Roman"/>
          <w:sz w:val="24"/>
          <w:szCs w:val="24"/>
        </w:rPr>
        <w:t>1</w:t>
      </w:r>
      <w:r w:rsidR="00546372">
        <w:rPr>
          <w:rFonts w:ascii="Times New Roman" w:hAnsi="Times New Roman" w:cs="Times New Roman"/>
          <w:sz w:val="24"/>
          <w:szCs w:val="24"/>
        </w:rPr>
        <w:t>0</w:t>
      </w:r>
      <w:r w:rsidR="00114603">
        <w:rPr>
          <w:rFonts w:ascii="Times New Roman" w:hAnsi="Times New Roman" w:cs="Times New Roman"/>
          <w:sz w:val="24"/>
          <w:szCs w:val="24"/>
        </w:rPr>
        <w:t>7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114603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114603" w:rsidRPr="00114603">
        <w:rPr>
          <w:rFonts w:ascii="Times New Roman" w:hAnsi="Times New Roman" w:cs="Times New Roman"/>
          <w:b/>
          <w:i/>
          <w:sz w:val="24"/>
          <w:szCs w:val="24"/>
        </w:rPr>
        <w:t>Lawyers, Judges, and Related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114603">
        <w:rPr>
          <w:rFonts w:ascii="Times New Roman" w:hAnsi="Times New Roman" w:cs="Times New Roman"/>
          <w:sz w:val="24"/>
          <w:szCs w:val="24"/>
        </w:rPr>
        <w:t>1</w:t>
      </w:r>
      <w:r w:rsidR="00546372">
        <w:rPr>
          <w:rFonts w:ascii="Times New Roman" w:hAnsi="Times New Roman" w:cs="Times New Roman"/>
          <w:sz w:val="24"/>
          <w:szCs w:val="24"/>
        </w:rPr>
        <w:t>03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2.</w:t>
      </w:r>
      <w:r w:rsidR="00546372">
        <w:rPr>
          <w:rFonts w:ascii="Times New Roman" w:hAnsi="Times New Roman" w:cs="Times New Roman"/>
          <w:sz w:val="24"/>
          <w:szCs w:val="24"/>
        </w:rPr>
        <w:t>32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114603">
        <w:rPr>
          <w:rFonts w:ascii="Times New Roman" w:hAnsi="Times New Roman" w:cs="Times New Roman"/>
          <w:sz w:val="24"/>
          <w:szCs w:val="24"/>
        </w:rPr>
        <w:t xml:space="preserve">Lawyers is likely to experience the majority of the growth in the occupational family adding </w:t>
      </w:r>
      <w:r w:rsidR="00546372">
        <w:rPr>
          <w:rFonts w:ascii="Times New Roman" w:hAnsi="Times New Roman" w:cs="Times New Roman"/>
          <w:sz w:val="24"/>
          <w:szCs w:val="24"/>
        </w:rPr>
        <w:t>78</w:t>
      </w:r>
      <w:r w:rsidR="00114603">
        <w:rPr>
          <w:rFonts w:ascii="Times New Roman" w:hAnsi="Times New Roman" w:cs="Times New Roman"/>
          <w:sz w:val="24"/>
          <w:szCs w:val="24"/>
        </w:rPr>
        <w:t xml:space="preserve"> jobs.  </w:t>
      </w:r>
      <w:r w:rsidR="00114603" w:rsidRPr="00114603">
        <w:rPr>
          <w:rFonts w:ascii="Times New Roman" w:hAnsi="Times New Roman" w:cs="Times New Roman"/>
          <w:sz w:val="24"/>
          <w:szCs w:val="24"/>
        </w:rPr>
        <w:t>Arbitrators, Mediators, and Conciliators</w:t>
      </w:r>
      <w:r w:rsidR="00114603">
        <w:rPr>
          <w:rFonts w:ascii="Times New Roman" w:hAnsi="Times New Roman" w:cs="Times New Roman"/>
          <w:sz w:val="24"/>
          <w:szCs w:val="24"/>
        </w:rPr>
        <w:t xml:space="preserve"> </w:t>
      </w:r>
      <w:r w:rsidR="001F0827">
        <w:rPr>
          <w:rFonts w:ascii="Times New Roman" w:hAnsi="Times New Roman" w:cs="Times New Roman"/>
          <w:sz w:val="24"/>
          <w:szCs w:val="24"/>
        </w:rPr>
        <w:t>is</w:t>
      </w:r>
      <w:r w:rsidR="00035EEF">
        <w:rPr>
          <w:rFonts w:ascii="Times New Roman" w:hAnsi="Times New Roman" w:cs="Times New Roman"/>
          <w:sz w:val="24"/>
          <w:szCs w:val="24"/>
        </w:rPr>
        <w:t xml:space="preserve"> </w:t>
      </w:r>
      <w:r w:rsidR="00114603">
        <w:rPr>
          <w:rFonts w:ascii="Times New Roman" w:hAnsi="Times New Roman" w:cs="Times New Roman"/>
          <w:sz w:val="24"/>
          <w:szCs w:val="24"/>
        </w:rPr>
        <w:t xml:space="preserve">predicted to </w:t>
      </w:r>
      <w:r w:rsidR="00546372">
        <w:rPr>
          <w:rFonts w:ascii="Times New Roman" w:hAnsi="Times New Roman" w:cs="Times New Roman"/>
          <w:sz w:val="24"/>
          <w:szCs w:val="24"/>
        </w:rPr>
        <w:t>add</w:t>
      </w:r>
      <w:r w:rsidR="00114603">
        <w:rPr>
          <w:rFonts w:ascii="Times New Roman" w:hAnsi="Times New Roman" w:cs="Times New Roman"/>
          <w:sz w:val="24"/>
          <w:szCs w:val="24"/>
        </w:rPr>
        <w:t xml:space="preserve"> </w:t>
      </w:r>
      <w:r w:rsidR="00546372">
        <w:rPr>
          <w:rFonts w:ascii="Times New Roman" w:hAnsi="Times New Roman" w:cs="Times New Roman"/>
          <w:sz w:val="24"/>
          <w:szCs w:val="24"/>
        </w:rPr>
        <w:t>4</w:t>
      </w:r>
      <w:r w:rsidR="00114603">
        <w:rPr>
          <w:rFonts w:ascii="Times New Roman" w:hAnsi="Times New Roman" w:cs="Times New Roman"/>
          <w:sz w:val="24"/>
          <w:szCs w:val="24"/>
        </w:rPr>
        <w:t>.</w:t>
      </w:r>
      <w:r w:rsidR="00546372">
        <w:rPr>
          <w:rFonts w:ascii="Times New Roman" w:hAnsi="Times New Roman" w:cs="Times New Roman"/>
          <w:sz w:val="24"/>
          <w:szCs w:val="24"/>
        </w:rPr>
        <w:t>46</w:t>
      </w:r>
      <w:r w:rsidR="00114603">
        <w:rPr>
          <w:rFonts w:ascii="Times New Roman" w:hAnsi="Times New Roman" w:cs="Times New Roman"/>
          <w:sz w:val="24"/>
          <w:szCs w:val="24"/>
        </w:rPr>
        <w:t xml:space="preserve"> percent </w:t>
      </w:r>
      <w:r w:rsidR="00546372">
        <w:rPr>
          <w:rFonts w:ascii="Times New Roman" w:hAnsi="Times New Roman" w:cs="Times New Roman"/>
          <w:sz w:val="24"/>
          <w:szCs w:val="24"/>
        </w:rPr>
        <w:t>to</w:t>
      </w:r>
      <w:r w:rsidR="00114603">
        <w:rPr>
          <w:rFonts w:ascii="Times New Roman" w:hAnsi="Times New Roman" w:cs="Times New Roman"/>
          <w:sz w:val="24"/>
          <w:szCs w:val="24"/>
        </w:rPr>
        <w:t xml:space="preserve"> its workforce.  </w:t>
      </w:r>
      <w:r w:rsidR="00035EEF"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114603">
        <w:rPr>
          <w:rFonts w:ascii="Times New Roman" w:hAnsi="Times New Roman" w:cs="Times New Roman"/>
          <w:sz w:val="24"/>
          <w:szCs w:val="24"/>
        </w:rPr>
        <w:t>2</w:t>
      </w:r>
      <w:r w:rsidR="00546372">
        <w:rPr>
          <w:rFonts w:ascii="Times New Roman" w:hAnsi="Times New Roman" w:cs="Times New Roman"/>
          <w:sz w:val="24"/>
          <w:szCs w:val="24"/>
        </w:rPr>
        <w:t>38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C8302D" w:rsidRPr="00EF7503" w:rsidRDefault="00035EEF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114603">
        <w:rPr>
          <w:rFonts w:ascii="Times New Roman" w:hAnsi="Times New Roman" w:cs="Times New Roman"/>
          <w:b/>
          <w:i/>
          <w:sz w:val="24"/>
          <w:szCs w:val="24"/>
        </w:rPr>
        <w:t>Legal Support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603" w:rsidRPr="00F26352">
        <w:rPr>
          <w:rFonts w:ascii="Times New Roman" w:hAnsi="Times New Roman" w:cs="Times New Roman"/>
          <w:sz w:val="24"/>
          <w:szCs w:val="24"/>
        </w:rPr>
        <w:t>occupational family</w:t>
      </w:r>
      <w:r w:rsidR="00114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603">
        <w:rPr>
          <w:rFonts w:ascii="Times New Roman" w:hAnsi="Times New Roman" w:cs="Times New Roman"/>
          <w:sz w:val="24"/>
          <w:szCs w:val="24"/>
        </w:rPr>
        <w:t>is projected</w:t>
      </w:r>
      <w:r w:rsidRPr="00035EEF">
        <w:rPr>
          <w:rFonts w:ascii="Times New Roman" w:hAnsi="Times New Roman" w:cs="Times New Roman"/>
          <w:sz w:val="24"/>
          <w:szCs w:val="24"/>
        </w:rPr>
        <w:t xml:space="preserve"> to increase jobs by </w:t>
      </w:r>
      <w:r w:rsidR="00546372">
        <w:rPr>
          <w:rFonts w:ascii="Times New Roman" w:hAnsi="Times New Roman" w:cs="Times New Roman"/>
          <w:sz w:val="24"/>
          <w:szCs w:val="24"/>
        </w:rPr>
        <w:t>111</w:t>
      </w:r>
      <w:r w:rsidRPr="00035EEF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 xml:space="preserve"> increase of 3.</w:t>
      </w:r>
      <w:r w:rsidR="0054637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114603">
        <w:rPr>
          <w:rFonts w:ascii="Times New Roman" w:hAnsi="Times New Roman" w:cs="Times New Roman"/>
          <w:sz w:val="24"/>
          <w:szCs w:val="24"/>
        </w:rPr>
        <w:t xml:space="preserve">Paralegals </w:t>
      </w:r>
      <w:r w:rsidR="001F0827">
        <w:rPr>
          <w:rFonts w:ascii="Times New Roman" w:hAnsi="Times New Roman" w:cs="Times New Roman"/>
          <w:sz w:val="24"/>
          <w:szCs w:val="24"/>
        </w:rPr>
        <w:t xml:space="preserve">and Legal Assistants </w:t>
      </w:r>
      <w:r w:rsidR="00114603">
        <w:rPr>
          <w:rFonts w:ascii="Times New Roman" w:hAnsi="Times New Roman" w:cs="Times New Roman"/>
          <w:sz w:val="24"/>
          <w:szCs w:val="24"/>
        </w:rPr>
        <w:t xml:space="preserve">is slated to add </w:t>
      </w:r>
      <w:r w:rsidR="00546372">
        <w:rPr>
          <w:rFonts w:ascii="Times New Roman" w:hAnsi="Times New Roman" w:cs="Times New Roman"/>
          <w:sz w:val="24"/>
          <w:szCs w:val="24"/>
        </w:rPr>
        <w:t>59</w:t>
      </w:r>
      <w:r w:rsidR="00114603">
        <w:rPr>
          <w:rFonts w:ascii="Times New Roman" w:hAnsi="Times New Roman" w:cs="Times New Roman"/>
          <w:sz w:val="24"/>
          <w:szCs w:val="24"/>
        </w:rPr>
        <w:t xml:space="preserve"> new jobs</w:t>
      </w:r>
      <w:r w:rsidR="00546372">
        <w:rPr>
          <w:rFonts w:ascii="Times New Roman" w:hAnsi="Times New Roman" w:cs="Times New Roman"/>
          <w:sz w:val="24"/>
          <w:szCs w:val="24"/>
        </w:rPr>
        <w:t xml:space="preserve"> making it the top growing occupation in the occupational family, while </w:t>
      </w:r>
      <w:r w:rsidR="00546372" w:rsidRPr="00546372">
        <w:rPr>
          <w:rFonts w:ascii="Times New Roman" w:hAnsi="Times New Roman" w:cs="Times New Roman"/>
          <w:sz w:val="24"/>
          <w:szCs w:val="24"/>
        </w:rPr>
        <w:t>Title Examiners, Abstractors, and Searchers</w:t>
      </w:r>
      <w:r w:rsidR="00114603">
        <w:rPr>
          <w:rFonts w:ascii="Times New Roman" w:hAnsi="Times New Roman" w:cs="Times New Roman"/>
          <w:sz w:val="24"/>
          <w:szCs w:val="24"/>
        </w:rPr>
        <w:t xml:space="preserve"> </w:t>
      </w:r>
      <w:r w:rsidR="00546372">
        <w:rPr>
          <w:rFonts w:ascii="Times New Roman" w:hAnsi="Times New Roman" w:cs="Times New Roman"/>
          <w:sz w:val="24"/>
          <w:szCs w:val="24"/>
        </w:rPr>
        <w:t>could</w:t>
      </w:r>
      <w:r w:rsidR="00114603">
        <w:rPr>
          <w:rFonts w:ascii="Times New Roman" w:hAnsi="Times New Roman" w:cs="Times New Roman"/>
          <w:sz w:val="24"/>
          <w:szCs w:val="24"/>
        </w:rPr>
        <w:t xml:space="preserve"> be the fastest growing in </w:t>
      </w:r>
      <w:r w:rsidR="00114603" w:rsidRPr="00114603">
        <w:rPr>
          <w:rFonts w:ascii="Times New Roman" w:hAnsi="Times New Roman" w:cs="Times New Roman"/>
          <w:b/>
          <w:sz w:val="24"/>
          <w:szCs w:val="24"/>
        </w:rPr>
        <w:t>Legal Occupations</w:t>
      </w:r>
      <w:r w:rsidR="00114603" w:rsidRPr="00114603">
        <w:rPr>
          <w:rFonts w:ascii="Times New Roman" w:hAnsi="Times New Roman" w:cs="Times New Roman"/>
          <w:sz w:val="24"/>
          <w:szCs w:val="24"/>
        </w:rPr>
        <w:t xml:space="preserve"> with a </w:t>
      </w:r>
      <w:r w:rsidR="00546372">
        <w:rPr>
          <w:rFonts w:ascii="Times New Roman" w:hAnsi="Times New Roman" w:cs="Times New Roman"/>
          <w:sz w:val="24"/>
          <w:szCs w:val="24"/>
        </w:rPr>
        <w:t>5</w:t>
      </w:r>
      <w:r w:rsidR="00114603" w:rsidRPr="00114603">
        <w:rPr>
          <w:rFonts w:ascii="Times New Roman" w:hAnsi="Times New Roman" w:cs="Times New Roman"/>
          <w:sz w:val="24"/>
          <w:szCs w:val="24"/>
        </w:rPr>
        <w:t>.2</w:t>
      </w:r>
      <w:r w:rsidR="00546372">
        <w:rPr>
          <w:rFonts w:ascii="Times New Roman" w:hAnsi="Times New Roman" w:cs="Times New Roman"/>
          <w:sz w:val="24"/>
          <w:szCs w:val="24"/>
        </w:rPr>
        <w:t>0</w:t>
      </w:r>
      <w:r w:rsidR="00114603" w:rsidRPr="00114603">
        <w:rPr>
          <w:rFonts w:ascii="Times New Roman" w:hAnsi="Times New Roman" w:cs="Times New Roman"/>
          <w:sz w:val="24"/>
          <w:szCs w:val="24"/>
        </w:rPr>
        <w:t xml:space="preserve"> percent gain</w:t>
      </w:r>
      <w:r w:rsidR="00114603">
        <w:rPr>
          <w:rFonts w:ascii="Times New Roman" w:hAnsi="Times New Roman" w:cs="Times New Roman"/>
          <w:sz w:val="24"/>
          <w:szCs w:val="24"/>
        </w:rPr>
        <w:t>.</w:t>
      </w:r>
      <w:r w:rsidR="00F26352">
        <w:rPr>
          <w:rFonts w:ascii="Times New Roman" w:hAnsi="Times New Roman" w:cs="Times New Roman"/>
          <w:sz w:val="24"/>
          <w:szCs w:val="24"/>
        </w:rPr>
        <w:t xml:space="preserve">  </w:t>
      </w:r>
      <w:r w:rsidR="004D0738">
        <w:rPr>
          <w:rFonts w:ascii="Times New Roman" w:hAnsi="Times New Roman" w:cs="Times New Roman"/>
          <w:sz w:val="24"/>
          <w:szCs w:val="24"/>
        </w:rPr>
        <w:t xml:space="preserve">Around </w:t>
      </w:r>
      <w:r w:rsidR="00F26352">
        <w:rPr>
          <w:rFonts w:ascii="Times New Roman" w:hAnsi="Times New Roman" w:cs="Times New Roman"/>
          <w:sz w:val="24"/>
          <w:szCs w:val="24"/>
        </w:rPr>
        <w:t>3</w:t>
      </w:r>
      <w:r w:rsidR="00546372">
        <w:rPr>
          <w:rFonts w:ascii="Times New Roman" w:hAnsi="Times New Roman" w:cs="Times New Roman"/>
          <w:sz w:val="24"/>
          <w:szCs w:val="24"/>
        </w:rPr>
        <w:t>5</w:t>
      </w:r>
      <w:r w:rsidR="00F26352">
        <w:rPr>
          <w:rFonts w:ascii="Times New Roman" w:hAnsi="Times New Roman" w:cs="Times New Roman"/>
          <w:sz w:val="24"/>
          <w:szCs w:val="24"/>
        </w:rPr>
        <w:t>1</w:t>
      </w:r>
      <w:r w:rsidR="004D0738">
        <w:rPr>
          <w:rFonts w:ascii="Times New Roman" w:hAnsi="Times New Roman" w:cs="Times New Roman"/>
          <w:sz w:val="24"/>
          <w:szCs w:val="24"/>
        </w:rPr>
        <w:t xml:space="preserve"> annual job op</w:t>
      </w:r>
      <w:r w:rsidR="00F26352">
        <w:rPr>
          <w:rFonts w:ascii="Times New Roman" w:hAnsi="Times New Roman" w:cs="Times New Roman"/>
          <w:sz w:val="24"/>
          <w:szCs w:val="24"/>
        </w:rPr>
        <w:t>enings are anticipated annually</w:t>
      </w:r>
      <w:r w:rsidR="001F0827">
        <w:rPr>
          <w:rFonts w:ascii="Times New Roman" w:hAnsi="Times New Roman" w:cs="Times New Roman"/>
          <w:sz w:val="24"/>
          <w:szCs w:val="24"/>
        </w:rPr>
        <w:t xml:space="preserve"> in the occupational family</w:t>
      </w:r>
      <w:r w:rsidR="00F26352">
        <w:rPr>
          <w:rFonts w:ascii="Times New Roman" w:hAnsi="Times New Roman" w:cs="Times New Roman"/>
          <w:sz w:val="24"/>
          <w:szCs w:val="24"/>
        </w:rPr>
        <w:t>.</w:t>
      </w:r>
      <w:r w:rsidR="007E7D5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490AD7" w:rsidRPr="007E7D5D" w:rsidRDefault="007B4A77" w:rsidP="007E7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368037" wp14:editId="74E1A993">
            <wp:extent cx="6024245" cy="340042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lastRenderedPageBreak/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519" w:rsidRDefault="00CD7519" w:rsidP="00050E6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0D3D">
        <w:rPr>
          <w:rFonts w:ascii="Times New Roman" w:hAnsi="Times New Roman" w:cs="Times New Roman"/>
          <w:b/>
          <w:sz w:val="24"/>
          <w:szCs w:val="24"/>
        </w:rPr>
        <w:t>Workforce Development Area Outlook</w:t>
      </w:r>
      <w:r w:rsidR="00F76A6E" w:rsidRPr="007A0D3D">
        <w:rPr>
          <w:rFonts w:ascii="Times New Roman" w:hAnsi="Times New Roman" w:cs="Times New Roman"/>
          <w:b/>
          <w:sz w:val="24"/>
          <w:szCs w:val="24"/>
        </w:rPr>
        <w:br/>
      </w:r>
      <w:r w:rsidR="00F26352" w:rsidRPr="007A0D3D">
        <w:rPr>
          <w:rFonts w:ascii="Times New Roman" w:hAnsi="Times New Roman" w:cs="Times New Roman"/>
          <w:b/>
          <w:sz w:val="24"/>
          <w:szCs w:val="24"/>
        </w:rPr>
        <w:t>Legal</w:t>
      </w:r>
      <w:r w:rsidR="000D6138" w:rsidRPr="007A0D3D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46"/>
        <w:gridCol w:w="1106"/>
        <w:gridCol w:w="1106"/>
      </w:tblGrid>
      <w:tr w:rsidR="007A0D3D" w:rsidRPr="007A0D3D" w:rsidTr="007A0D3D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A0D3D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7A0D3D" w:rsidRPr="007A0D3D" w:rsidTr="0092488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</w:tr>
      <w:tr w:rsidR="007A0D3D" w:rsidRPr="007A0D3D" w:rsidTr="0092488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7A0D3D" w:rsidRPr="007A0D3D" w:rsidTr="0092488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7A0D3D" w:rsidRPr="007A0D3D" w:rsidTr="0092488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7A0D3D" w:rsidRPr="007A0D3D" w:rsidTr="0092488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7A0D3D" w:rsidRPr="007A0D3D" w:rsidTr="007A0D3D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</w:tr>
      <w:tr w:rsidR="007A0D3D" w:rsidRPr="007A0D3D" w:rsidTr="007A0D3D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A0D3D" w:rsidRPr="007A0D3D" w:rsidTr="0092488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9248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7A0D3D" w:rsidRPr="007A0D3D" w:rsidTr="007A0D3D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A0D3D" w:rsidRPr="007A0D3D" w:rsidRDefault="007A0D3D" w:rsidP="007A0D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A0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</w:tr>
    </w:tbl>
    <w:p w:rsidR="007A0D3D" w:rsidRPr="007E7D5D" w:rsidRDefault="007A0D3D" w:rsidP="00050E6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0E6A" w:rsidRPr="00D935FB" w:rsidRDefault="00050E6A" w:rsidP="00CD7519">
      <w:pPr>
        <w:rPr>
          <w:rFonts w:ascii="Times New Roman" w:hAnsi="Times New Roman" w:cs="Times New Roman"/>
          <w:sz w:val="24"/>
          <w:szCs w:val="24"/>
        </w:rPr>
      </w:pPr>
    </w:p>
    <w:sectPr w:rsidR="00050E6A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50E6A"/>
    <w:rsid w:val="00066B43"/>
    <w:rsid w:val="00070BD4"/>
    <w:rsid w:val="000960E8"/>
    <w:rsid w:val="000D6138"/>
    <w:rsid w:val="00114603"/>
    <w:rsid w:val="00154FDA"/>
    <w:rsid w:val="001F0827"/>
    <w:rsid w:val="0029218E"/>
    <w:rsid w:val="002D43FF"/>
    <w:rsid w:val="002E0A24"/>
    <w:rsid w:val="003369C7"/>
    <w:rsid w:val="003A4556"/>
    <w:rsid w:val="003A6F63"/>
    <w:rsid w:val="00440DB3"/>
    <w:rsid w:val="00457BC4"/>
    <w:rsid w:val="00490AD7"/>
    <w:rsid w:val="004D0738"/>
    <w:rsid w:val="00504AAD"/>
    <w:rsid w:val="00546372"/>
    <w:rsid w:val="00580031"/>
    <w:rsid w:val="005F6BBA"/>
    <w:rsid w:val="006468CA"/>
    <w:rsid w:val="00752A6F"/>
    <w:rsid w:val="00773BB3"/>
    <w:rsid w:val="007A0D3D"/>
    <w:rsid w:val="007B4A77"/>
    <w:rsid w:val="007E7D5D"/>
    <w:rsid w:val="00A304F2"/>
    <w:rsid w:val="00A903FA"/>
    <w:rsid w:val="00AF4491"/>
    <w:rsid w:val="00B4091B"/>
    <w:rsid w:val="00BE0E5F"/>
    <w:rsid w:val="00BF125E"/>
    <w:rsid w:val="00C8302D"/>
    <w:rsid w:val="00C879B1"/>
    <w:rsid w:val="00CC2B88"/>
    <w:rsid w:val="00CD7519"/>
    <w:rsid w:val="00CE1B52"/>
    <w:rsid w:val="00CF53CC"/>
    <w:rsid w:val="00D257C2"/>
    <w:rsid w:val="00D935FB"/>
    <w:rsid w:val="00E61819"/>
    <w:rsid w:val="00EC493B"/>
    <w:rsid w:val="00EF6C8A"/>
    <w:rsid w:val="00EF7503"/>
    <w:rsid w:val="00F127EA"/>
    <w:rsid w:val="00F26352"/>
    <w:rsid w:val="00F54BEC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Legal Occupations</a:t>
            </a:r>
          </a:p>
        </c:rich>
      </c:tx>
      <c:layout>
        <c:manualLayout>
          <c:xMode val="edge"/>
          <c:yMode val="edge"/>
          <c:x val="0.26766174953519412"/>
          <c:y val="1.4614656543891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Lawyers, Judges, and Related Workers (23-1000)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148615490421211E-3"/>
                  <c:y val="0.16665659759282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Legal Occupations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2.3199999999999998E-2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Legal Support Workers (23-2000)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752E-3"/>
                  <c:y val="0.2884341247625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Legal Occupations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3.5000000000000003E-2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9367824"/>
        <c:axId val="619368384"/>
        <c:axId val="0"/>
      </c:bar3DChart>
      <c:catAx>
        <c:axId val="6193678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19368384"/>
        <c:crosses val="autoZero"/>
        <c:auto val="1"/>
        <c:lblAlgn val="ctr"/>
        <c:lblOffset val="100"/>
        <c:noMultiLvlLbl val="0"/>
      </c:catAx>
      <c:valAx>
        <c:axId val="61936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9367824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5964049948301917"/>
          <c:y val="2.64255856906775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Lawyers, Judges, and Related Workers (23-1000)</c:v>
                </c:pt>
                <c:pt idx="1">
                  <c:v>Legal Support Workers           (23-2000)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88</c:v>
                </c:pt>
                <c:pt idx="1">
                  <c:v>110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Lawyers, Judges, and Related Workers (23-1000)</c:v>
                </c:pt>
                <c:pt idx="1">
                  <c:v>Legal Support Workers           (23-2000)</c:v>
                </c:pt>
              </c:strCache>
            </c:strRef>
          </c:cat>
          <c:val>
            <c:numRef>
              <c:f>Sheet1!$C$2:$C$3</c:f>
              <c:numCache>
                <c:formatCode>#,##0</c:formatCode>
                <c:ptCount val="2"/>
                <c:pt idx="0">
                  <c:v>98</c:v>
                </c:pt>
                <c:pt idx="1">
                  <c:v>185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Lawyers, Judges, and Related Workers (23-1000)</c:v>
                </c:pt>
                <c:pt idx="1">
                  <c:v>Legal Support Workers           (23-2000)</c:v>
                </c:pt>
              </c:strCache>
            </c:strRef>
          </c:cat>
          <c:val>
            <c:numRef>
              <c:f>Sheet1!$D$2:$D$3</c:f>
              <c:numCache>
                <c:formatCode>#,##0</c:formatCode>
                <c:ptCount val="2"/>
                <c:pt idx="0">
                  <c:v>52</c:v>
                </c:pt>
                <c:pt idx="1">
                  <c:v>56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0.16122075649634718"/>
                  <c:y val="1.514869900521694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Lawyers, Judges, and Related Workers (23-1000)</c:v>
                </c:pt>
                <c:pt idx="1">
                  <c:v>Legal Support Workers           (23-2000)</c:v>
                </c:pt>
              </c:strCache>
            </c:strRef>
          </c:cat>
          <c:val>
            <c:numRef>
              <c:f>Sheet1!$E$2:$E$3</c:f>
              <c:numCache>
                <c:formatCode>#,##0</c:formatCode>
                <c:ptCount val="2"/>
                <c:pt idx="0">
                  <c:v>238</c:v>
                </c:pt>
                <c:pt idx="1">
                  <c:v>351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9372304"/>
        <c:axId val="619372864"/>
      </c:barChart>
      <c:catAx>
        <c:axId val="61937230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 sz="1000"/>
            </a:pPr>
            <a:endParaRPr lang="en-US"/>
          </a:p>
        </c:txPr>
        <c:crossAx val="619372864"/>
        <c:crossesAt val="0"/>
        <c:auto val="1"/>
        <c:lblAlgn val="ctr"/>
        <c:lblOffset val="100"/>
        <c:tickLblSkip val="1"/>
        <c:noMultiLvlLbl val="0"/>
      </c:catAx>
      <c:valAx>
        <c:axId val="619372864"/>
        <c:scaling>
          <c:orientation val="minMax"/>
          <c:max val="4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9372304"/>
        <c:crosses val="autoZero"/>
        <c:crossBetween val="between"/>
        <c:majorUnit val="1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8070256369468969"/>
          <c:y val="0.77529049609539546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0.46609</cdr:x>
      <cdr:y>0.86925</cdr:y>
    </cdr:from>
    <cdr:to>
      <cdr:x>1</cdr:x>
      <cdr:y>0.95556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76576" y="3353241"/>
          <a:ext cx="3524249" cy="332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86E3-B77D-44C5-86D4-11AC9D37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24</cp:revision>
  <cp:lastPrinted>2017-07-17T20:28:00Z</cp:lastPrinted>
  <dcterms:created xsi:type="dcterms:W3CDTF">2016-08-09T16:00:00Z</dcterms:created>
  <dcterms:modified xsi:type="dcterms:W3CDTF">2019-08-12T14:33:00Z</dcterms:modified>
</cp:coreProperties>
</file>