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5B" w:rsidRPr="00DA6FB2" w:rsidRDefault="002E1434" w:rsidP="002E1434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7C050501" wp14:editId="679DE761">
                <wp:simplePos x="0" y="0"/>
                <wp:positionH relativeFrom="margin">
                  <wp:posOffset>179232</wp:posOffset>
                </wp:positionH>
                <wp:positionV relativeFrom="margin">
                  <wp:posOffset>447675</wp:posOffset>
                </wp:positionV>
                <wp:extent cx="6305550" cy="176149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761490"/>
                          <a:chOff x="-5850" y="-74305"/>
                          <a:chExt cx="2152753" cy="215530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2"/>
                            <a:ext cx="2146903" cy="144775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24F4" w:rsidRDefault="00AD0C5B" w:rsidP="00AD0C5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Projected (20</w:t>
                              </w:r>
                              <w:r w:rsidR="00B80CD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B80CD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 Growth Rate:  2.</w:t>
                              </w:r>
                              <w:r w:rsidR="008F3C2D"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8C3A80"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8D24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Agriculture and Food Science Technicians</w:t>
                              </w:r>
                              <w:r w:rsidR="006D12B1"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(19-</w:t>
                              </w:r>
                              <w:r w:rsidR="008D24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4011</w:t>
                              </w:r>
                              <w:r w:rsidR="006D12B1"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613D98"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28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8D24F4" w:rsidRPr="008D24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Medical Scientists, Except Epidemiologists </w:t>
                              </w:r>
                              <w:r w:rsidR="006D12B1"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(19-</w:t>
                              </w:r>
                              <w:r w:rsidR="008D24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1042</w:t>
                              </w:r>
                              <w:r w:rsidR="006D12B1"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613D98"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613D98"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D24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8D24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06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Pr="000B6BB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>Biggest and Fastest Loser</w:t>
                              </w:r>
                              <w:r w:rsidR="008D24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  <w:r w:rsidR="008D24F4" w:rsidRPr="008D24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Forest and Conservation Technicians</w:t>
                              </w:r>
                              <w:r w:rsidR="008D24F4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(19-4093) – 2 jobs (0.73%)</w:t>
                              </w:r>
                            </w:p>
                            <w:p w:rsidR="008D24F4" w:rsidRDefault="008D24F4" w:rsidP="00AD0C5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AD0C5B" w:rsidRPr="000B6BB8" w:rsidRDefault="008D24F4" w:rsidP="00AD0C5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.73%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0C5B" w:rsidRPr="000B6BB8" w:rsidRDefault="00AD0C5B" w:rsidP="00AD0C5B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0B6BB8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Short-Term Outlook 20</w:t>
                              </w:r>
                              <w:r w:rsidR="00B80CD6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18</w:t>
                              </w:r>
                              <w:r w:rsidRPr="000B6BB8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-20</w:t>
                              </w:r>
                              <w:r w:rsidR="00B80CD6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50501" id="Group 201" o:spid="_x0000_s1026" style="position:absolute;margin-left:14.1pt;margin-top:35.25pt;width:496.5pt;height:138.7pt;z-index:-251657216;mso-wrap-distance-left:18pt;mso-wrap-distance-right:18pt;mso-position-horizontal-relative:margin;mso-position-vertical-relative:margin;mso-width-relative:margin;mso-height-relative:margin" coordorigin="-58,-743" coordsize="21527,2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8D24F4" w:rsidRDefault="00AD0C5B" w:rsidP="00AD0C5B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Projected (20</w:t>
                        </w:r>
                        <w:r w:rsidR="00B80CD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B80CD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 Growth Rate:  2.</w:t>
                        </w:r>
                        <w:r w:rsidR="008F3C2D"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="008C3A80"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8D24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Agriculture and Food Science Technicians</w:t>
                        </w:r>
                        <w:r w:rsidR="006D12B1"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(19-</w:t>
                        </w:r>
                        <w:r w:rsidR="008D24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4011</w:t>
                        </w:r>
                        <w:r w:rsidR="006D12B1"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613D98"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28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8D24F4" w:rsidRPr="008D24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Medical Scientists, Except Epidemiologists </w:t>
                        </w:r>
                        <w:r w:rsidR="006D12B1"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(19-</w:t>
                        </w:r>
                        <w:r w:rsidR="008D24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1042</w:t>
                        </w:r>
                        <w:r w:rsidR="006D12B1"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613D98"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613D98"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8D24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8D24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06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Pr="000B6BB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>Biggest and Fastest Loser</w:t>
                        </w:r>
                        <w:r w:rsidR="008D24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:  </w:t>
                        </w:r>
                        <w:r w:rsidR="008D24F4" w:rsidRPr="008D24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Forest and Conservation Technicians</w:t>
                        </w:r>
                        <w:r w:rsidR="008D24F4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(19-4093) – 2 jobs (0.73%)</w:t>
                        </w:r>
                      </w:p>
                      <w:p w:rsidR="008D24F4" w:rsidRDefault="008D24F4" w:rsidP="00AD0C5B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AD0C5B" w:rsidRPr="000B6BB8" w:rsidRDefault="008D24F4" w:rsidP="00AD0C5B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.73%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AD0C5B" w:rsidRPr="000B6BB8" w:rsidRDefault="00AD0C5B" w:rsidP="00AD0C5B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0B6BB8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Short-Term Outlook 20</w:t>
                        </w:r>
                        <w:r w:rsidR="00B80CD6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18</w:t>
                        </w:r>
                        <w:r w:rsidRPr="000B6BB8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-20</w:t>
                        </w:r>
                        <w:r w:rsidR="00B80CD6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A6FB2" w:rsidRPr="008D24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30555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F4" w:rsidRPr="00DA6FB2" w:rsidRDefault="00DA6FB2" w:rsidP="00DA6FB2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A6FB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Life, Physical, and Social Science Occupations (19-0000)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5pt;margin-top:0;width:496.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" fillcolor="#823b0b [1605]">
                <v:textbox>
                  <w:txbxContent>
                    <w:p w:rsidR="008D24F4" w:rsidRPr="00DA6FB2" w:rsidRDefault="00DA6FB2" w:rsidP="00DA6FB2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A6FB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Life, Physical, and Social Science Occupations (19-0000)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6F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F9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8F3C2D">
        <w:rPr>
          <w:rFonts w:ascii="Times New Roman" w:hAnsi="Times New Roman" w:cs="Times New Roman"/>
          <w:b/>
          <w:sz w:val="24"/>
          <w:szCs w:val="24"/>
        </w:rPr>
        <w:t>Life, Physical, and Social Science</w:t>
      </w:r>
      <w:r w:rsidR="00AD0C5B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AD0C5B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AD0C5B">
        <w:rPr>
          <w:rFonts w:ascii="Times New Roman" w:hAnsi="Times New Roman" w:cs="Times New Roman"/>
          <w:sz w:val="24"/>
          <w:szCs w:val="24"/>
        </w:rPr>
        <w:t xml:space="preserve">add </w:t>
      </w:r>
      <w:r w:rsidR="008F3C2D">
        <w:rPr>
          <w:rFonts w:ascii="Times New Roman" w:hAnsi="Times New Roman" w:cs="Times New Roman"/>
          <w:sz w:val="24"/>
          <w:szCs w:val="24"/>
        </w:rPr>
        <w:t>1</w:t>
      </w:r>
      <w:r w:rsidR="008C3A80">
        <w:rPr>
          <w:rFonts w:ascii="Times New Roman" w:hAnsi="Times New Roman" w:cs="Times New Roman"/>
          <w:sz w:val="24"/>
          <w:szCs w:val="24"/>
        </w:rPr>
        <w:t>82</w:t>
      </w:r>
      <w:r w:rsidR="00AD0C5B">
        <w:rPr>
          <w:rFonts w:ascii="Times New Roman" w:hAnsi="Times New Roman" w:cs="Times New Roman"/>
          <w:sz w:val="24"/>
          <w:szCs w:val="24"/>
        </w:rPr>
        <w:t xml:space="preserve"> new jobs to the state economy, an increase of 2.</w:t>
      </w:r>
      <w:r w:rsidR="008C3A80">
        <w:rPr>
          <w:rFonts w:ascii="Times New Roman" w:hAnsi="Times New Roman" w:cs="Times New Roman"/>
          <w:sz w:val="24"/>
          <w:szCs w:val="24"/>
        </w:rPr>
        <w:t>51</w:t>
      </w:r>
      <w:r w:rsidR="00AD0C5B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8F3C2D">
        <w:rPr>
          <w:rFonts w:ascii="Times New Roman" w:hAnsi="Times New Roman" w:cs="Times New Roman"/>
          <w:sz w:val="24"/>
          <w:szCs w:val="24"/>
        </w:rPr>
        <w:t>7</w:t>
      </w:r>
      <w:r w:rsidR="008C3A80">
        <w:rPr>
          <w:rFonts w:ascii="Times New Roman" w:hAnsi="Times New Roman" w:cs="Times New Roman"/>
          <w:sz w:val="24"/>
          <w:szCs w:val="24"/>
        </w:rPr>
        <w:t>65</w:t>
      </w:r>
      <w:r w:rsidR="00AD0C5B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8C3A80">
        <w:rPr>
          <w:rFonts w:ascii="Times New Roman" w:hAnsi="Times New Roman" w:cs="Times New Roman"/>
          <w:sz w:val="24"/>
          <w:szCs w:val="24"/>
        </w:rPr>
        <w:t>204</w:t>
      </w:r>
      <w:r w:rsidR="00AD0C5B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8F3C2D">
        <w:rPr>
          <w:rFonts w:ascii="Times New Roman" w:hAnsi="Times New Roman" w:cs="Times New Roman"/>
          <w:sz w:val="24"/>
          <w:szCs w:val="24"/>
        </w:rPr>
        <w:t>4</w:t>
      </w:r>
      <w:r w:rsidR="008C3A80">
        <w:rPr>
          <w:rFonts w:ascii="Times New Roman" w:hAnsi="Times New Roman" w:cs="Times New Roman"/>
          <w:sz w:val="24"/>
          <w:szCs w:val="24"/>
        </w:rPr>
        <w:t>70</w:t>
      </w:r>
      <w:r w:rsidR="00AD0C5B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8C3A80">
        <w:rPr>
          <w:rFonts w:ascii="Times New Roman" w:hAnsi="Times New Roman" w:cs="Times New Roman"/>
          <w:sz w:val="24"/>
          <w:szCs w:val="24"/>
        </w:rPr>
        <w:t>91</w:t>
      </w:r>
      <w:r w:rsidR="00AD0C5B">
        <w:rPr>
          <w:rFonts w:ascii="Times New Roman" w:hAnsi="Times New Roman" w:cs="Times New Roman"/>
          <w:sz w:val="24"/>
          <w:szCs w:val="24"/>
        </w:rPr>
        <w:t xml:space="preserve"> annual openings.  </w:t>
      </w:r>
    </w:p>
    <w:p w:rsidR="00AD0C5B" w:rsidRDefault="00AD0C5B" w:rsidP="00AD0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8F3C2D">
        <w:rPr>
          <w:rFonts w:ascii="Times New Roman" w:hAnsi="Times New Roman" w:cs="Times New Roman"/>
          <w:b/>
          <w:i/>
          <w:sz w:val="24"/>
          <w:szCs w:val="24"/>
        </w:rPr>
        <w:t>Life Scientists</w:t>
      </w:r>
      <w:r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8C3A8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8F3C2D">
        <w:rPr>
          <w:rFonts w:ascii="Times New Roman" w:hAnsi="Times New Roman" w:cs="Times New Roman"/>
          <w:sz w:val="24"/>
          <w:szCs w:val="24"/>
        </w:rPr>
        <w:t>1.</w:t>
      </w:r>
      <w:r w:rsidR="008C3A80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8F3C2D" w:rsidRPr="008F3C2D">
        <w:rPr>
          <w:rFonts w:ascii="Times New Roman" w:hAnsi="Times New Roman" w:cs="Times New Roman"/>
          <w:sz w:val="24"/>
          <w:szCs w:val="24"/>
        </w:rPr>
        <w:t>Medical Scientists, Except Epidemiologists</w:t>
      </w:r>
      <w:r w:rsidR="008F3C2D">
        <w:rPr>
          <w:rFonts w:ascii="Times New Roman" w:hAnsi="Times New Roman" w:cs="Times New Roman"/>
          <w:sz w:val="24"/>
          <w:szCs w:val="24"/>
        </w:rPr>
        <w:t xml:space="preserve"> is estimated to </w:t>
      </w:r>
      <w:r w:rsidR="008C3A80">
        <w:rPr>
          <w:rFonts w:ascii="Times New Roman" w:hAnsi="Times New Roman" w:cs="Times New Roman"/>
          <w:sz w:val="24"/>
          <w:szCs w:val="24"/>
        </w:rPr>
        <w:t>grow by seven employees, or gain 6.09 percent</w:t>
      </w:r>
      <w:r w:rsidR="008D24F4">
        <w:rPr>
          <w:rFonts w:ascii="Times New Roman" w:hAnsi="Times New Roman" w:cs="Times New Roman"/>
          <w:sz w:val="24"/>
          <w:szCs w:val="24"/>
        </w:rPr>
        <w:t>, becoming the fastest growing occupation in the major group</w:t>
      </w:r>
      <w:r w:rsidR="008C3A8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8C3A80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D94EF9" w:rsidRDefault="00AD0C5B" w:rsidP="00AD0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8F3C2D">
        <w:rPr>
          <w:rFonts w:ascii="Times New Roman" w:hAnsi="Times New Roman" w:cs="Times New Roman"/>
          <w:b/>
          <w:i/>
          <w:sz w:val="24"/>
          <w:szCs w:val="24"/>
        </w:rPr>
        <w:t>Physical Scientists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206">
        <w:rPr>
          <w:rFonts w:ascii="Times New Roman" w:hAnsi="Times New Roman" w:cs="Times New Roman"/>
          <w:sz w:val="24"/>
          <w:szCs w:val="24"/>
        </w:rPr>
        <w:t>occupational family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</w:t>
      </w:r>
      <w:r>
        <w:rPr>
          <w:rFonts w:ascii="Times New Roman" w:hAnsi="Times New Roman" w:cs="Times New Roman"/>
          <w:sz w:val="24"/>
          <w:szCs w:val="24"/>
        </w:rPr>
        <w:t xml:space="preserve">experience a small </w:t>
      </w:r>
      <w:r w:rsidRPr="00035EEF">
        <w:rPr>
          <w:rFonts w:ascii="Times New Roman" w:hAnsi="Times New Roman" w:cs="Times New Roman"/>
          <w:sz w:val="24"/>
          <w:szCs w:val="24"/>
        </w:rPr>
        <w:t xml:space="preserve">increase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8C3A8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>jobs</w:t>
      </w:r>
      <w:r>
        <w:rPr>
          <w:rFonts w:ascii="Times New Roman" w:hAnsi="Times New Roman" w:cs="Times New Roman"/>
          <w:sz w:val="24"/>
          <w:szCs w:val="24"/>
        </w:rPr>
        <w:t xml:space="preserve">, an increase of </w:t>
      </w:r>
      <w:r w:rsidR="008C3A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3A80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8F3C2D" w:rsidRPr="008F3C2D">
        <w:rPr>
          <w:rFonts w:ascii="Times New Roman" w:hAnsi="Times New Roman" w:cs="Times New Roman"/>
          <w:sz w:val="24"/>
          <w:szCs w:val="24"/>
        </w:rPr>
        <w:t>Environmental Scientists and Specialists, Including Health</w:t>
      </w:r>
      <w:r w:rsidR="008F3C2D">
        <w:rPr>
          <w:rFonts w:ascii="Times New Roman" w:hAnsi="Times New Roman" w:cs="Times New Roman"/>
          <w:sz w:val="24"/>
          <w:szCs w:val="24"/>
        </w:rPr>
        <w:t xml:space="preserve"> is slated to add </w:t>
      </w:r>
      <w:r w:rsidR="008C3A80">
        <w:rPr>
          <w:rFonts w:ascii="Times New Roman" w:hAnsi="Times New Roman" w:cs="Times New Roman"/>
          <w:sz w:val="24"/>
          <w:szCs w:val="24"/>
        </w:rPr>
        <w:t>1</w:t>
      </w:r>
      <w:r w:rsidR="008F3C2D">
        <w:rPr>
          <w:rFonts w:ascii="Times New Roman" w:hAnsi="Times New Roman" w:cs="Times New Roman"/>
          <w:sz w:val="24"/>
          <w:szCs w:val="24"/>
        </w:rPr>
        <w:t>8 new jobs, a 5.</w:t>
      </w:r>
      <w:r w:rsidR="008C3A80">
        <w:rPr>
          <w:rFonts w:ascii="Times New Roman" w:hAnsi="Times New Roman" w:cs="Times New Roman"/>
          <w:sz w:val="24"/>
          <w:szCs w:val="24"/>
        </w:rPr>
        <w:t>22</w:t>
      </w:r>
      <w:r w:rsidR="008F3C2D">
        <w:rPr>
          <w:rFonts w:ascii="Times New Roman" w:hAnsi="Times New Roman" w:cs="Times New Roman"/>
          <w:sz w:val="24"/>
          <w:szCs w:val="24"/>
        </w:rPr>
        <w:t xml:space="preserve"> percent gain</w:t>
      </w:r>
      <w:r w:rsidR="00613D98">
        <w:rPr>
          <w:rFonts w:ascii="Times New Roman" w:hAnsi="Times New Roman" w:cs="Times New Roman"/>
          <w:sz w:val="24"/>
          <w:szCs w:val="24"/>
        </w:rPr>
        <w:t xml:space="preserve">, becoming the top growing </w:t>
      </w:r>
      <w:r w:rsidR="00D94EF9">
        <w:rPr>
          <w:rFonts w:ascii="Times New Roman" w:hAnsi="Times New Roman" w:cs="Times New Roman"/>
          <w:sz w:val="24"/>
          <w:szCs w:val="24"/>
        </w:rPr>
        <w:t>occupation</w:t>
      </w:r>
      <w:r w:rsidR="00613D98">
        <w:rPr>
          <w:rFonts w:ascii="Times New Roman" w:hAnsi="Times New Roman" w:cs="Times New Roman"/>
          <w:sz w:val="24"/>
          <w:szCs w:val="24"/>
        </w:rPr>
        <w:t xml:space="preserve"> in </w:t>
      </w:r>
      <w:r w:rsidR="00D94EF9">
        <w:rPr>
          <w:rFonts w:ascii="Times New Roman" w:hAnsi="Times New Roman" w:cs="Times New Roman"/>
          <w:sz w:val="24"/>
          <w:szCs w:val="24"/>
        </w:rPr>
        <w:t>this occupational</w:t>
      </w:r>
      <w:r w:rsidR="00613D98">
        <w:rPr>
          <w:rFonts w:ascii="Times New Roman" w:hAnsi="Times New Roman" w:cs="Times New Roman"/>
          <w:sz w:val="24"/>
          <w:szCs w:val="24"/>
        </w:rPr>
        <w:t xml:space="preserve"> group</w:t>
      </w:r>
      <w:r w:rsidR="008F3C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Around </w:t>
      </w:r>
      <w:r w:rsidR="008F3C2D">
        <w:rPr>
          <w:rFonts w:ascii="Times New Roman" w:hAnsi="Times New Roman" w:cs="Times New Roman"/>
          <w:sz w:val="24"/>
          <w:szCs w:val="24"/>
        </w:rPr>
        <w:t>1</w:t>
      </w:r>
      <w:r w:rsidR="008C3A8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annual job openings are anticipated.</w:t>
      </w:r>
    </w:p>
    <w:p w:rsidR="00613D98" w:rsidRDefault="00D94EF9" w:rsidP="00AD0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3D98">
        <w:rPr>
          <w:rFonts w:ascii="Times New Roman" w:hAnsi="Times New Roman" w:cs="Times New Roman"/>
          <w:sz w:val="24"/>
          <w:szCs w:val="24"/>
        </w:rPr>
        <w:t xml:space="preserve">The </w:t>
      </w:r>
      <w:r w:rsidR="00613D98" w:rsidRPr="00613D98">
        <w:rPr>
          <w:rFonts w:ascii="Times New Roman" w:hAnsi="Times New Roman" w:cs="Times New Roman"/>
          <w:b/>
          <w:sz w:val="24"/>
          <w:szCs w:val="24"/>
        </w:rPr>
        <w:t>Social Scientists and Related Workers</w:t>
      </w:r>
      <w:r w:rsidR="00613D98" w:rsidRPr="00613D98">
        <w:rPr>
          <w:rFonts w:ascii="Times New Roman" w:hAnsi="Times New Roman" w:cs="Times New Roman"/>
          <w:sz w:val="24"/>
          <w:szCs w:val="24"/>
        </w:rPr>
        <w:t xml:space="preserve"> occupational family is forecast to increase by </w:t>
      </w:r>
      <w:r w:rsidR="008C3A80">
        <w:rPr>
          <w:rFonts w:ascii="Times New Roman" w:hAnsi="Times New Roman" w:cs="Times New Roman"/>
          <w:sz w:val="24"/>
          <w:szCs w:val="24"/>
        </w:rPr>
        <w:t>52</w:t>
      </w:r>
      <w:r w:rsidR="00613D98" w:rsidRPr="00613D98">
        <w:rPr>
          <w:rFonts w:ascii="Times New Roman" w:hAnsi="Times New Roman" w:cs="Times New Roman"/>
          <w:sz w:val="24"/>
          <w:szCs w:val="24"/>
        </w:rPr>
        <w:t xml:space="preserve"> jobs, or </w:t>
      </w:r>
      <w:r w:rsidR="008C3A80">
        <w:rPr>
          <w:rFonts w:ascii="Times New Roman" w:hAnsi="Times New Roman" w:cs="Times New Roman"/>
          <w:sz w:val="24"/>
          <w:szCs w:val="24"/>
        </w:rPr>
        <w:t>3</w:t>
      </w:r>
      <w:r w:rsidR="00613D98" w:rsidRPr="00613D98">
        <w:rPr>
          <w:rFonts w:ascii="Times New Roman" w:hAnsi="Times New Roman" w:cs="Times New Roman"/>
          <w:sz w:val="24"/>
          <w:szCs w:val="24"/>
        </w:rPr>
        <w:t>.</w:t>
      </w:r>
      <w:r w:rsidR="008C3A80">
        <w:rPr>
          <w:rFonts w:ascii="Times New Roman" w:hAnsi="Times New Roman" w:cs="Times New Roman"/>
          <w:sz w:val="24"/>
          <w:szCs w:val="24"/>
        </w:rPr>
        <w:t>58</w:t>
      </w:r>
      <w:r w:rsidR="00613D98" w:rsidRPr="00613D98">
        <w:rPr>
          <w:rFonts w:ascii="Times New Roman" w:hAnsi="Times New Roman" w:cs="Times New Roman"/>
          <w:sz w:val="24"/>
          <w:szCs w:val="24"/>
        </w:rPr>
        <w:t xml:space="preserve"> percent</w:t>
      </w:r>
      <w:r w:rsidR="00613D98">
        <w:rPr>
          <w:rFonts w:ascii="Times New Roman" w:hAnsi="Times New Roman" w:cs="Times New Roman"/>
          <w:sz w:val="24"/>
          <w:szCs w:val="24"/>
        </w:rPr>
        <w:t xml:space="preserve">.  </w:t>
      </w:r>
      <w:r w:rsidR="008D24F4" w:rsidRPr="008D24F4">
        <w:rPr>
          <w:rFonts w:ascii="Times New Roman" w:hAnsi="Times New Roman" w:cs="Times New Roman"/>
          <w:sz w:val="24"/>
          <w:szCs w:val="24"/>
        </w:rPr>
        <w:t>Clinical, Counseling, and School Psychologists</w:t>
      </w:r>
      <w:r w:rsidR="008D24F4">
        <w:rPr>
          <w:rFonts w:ascii="Times New Roman" w:hAnsi="Times New Roman" w:cs="Times New Roman"/>
          <w:sz w:val="24"/>
          <w:szCs w:val="24"/>
        </w:rPr>
        <w:t xml:space="preserve"> is slated to add 19 jobs, or 2.62 percent to its workforce.  </w:t>
      </w:r>
      <w:r w:rsidR="00613D98">
        <w:rPr>
          <w:rFonts w:ascii="Times New Roman" w:hAnsi="Times New Roman" w:cs="Times New Roman"/>
          <w:sz w:val="24"/>
          <w:szCs w:val="24"/>
        </w:rPr>
        <w:t xml:space="preserve">The occupational family anticipates </w:t>
      </w:r>
      <w:r w:rsidR="000B6BB8">
        <w:rPr>
          <w:rFonts w:ascii="Times New Roman" w:hAnsi="Times New Roman" w:cs="Times New Roman"/>
          <w:sz w:val="24"/>
          <w:szCs w:val="24"/>
        </w:rPr>
        <w:t>132</w:t>
      </w:r>
      <w:r w:rsidR="00613D98"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AD0C5B" w:rsidRPr="006D12B1" w:rsidRDefault="00613D98" w:rsidP="006D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4EF9">
        <w:rPr>
          <w:rFonts w:ascii="Times New Roman" w:hAnsi="Times New Roman" w:cs="Times New Roman"/>
          <w:sz w:val="24"/>
          <w:szCs w:val="24"/>
        </w:rPr>
        <w:t xml:space="preserve">The </w:t>
      </w:r>
      <w:r w:rsidRPr="00613D98">
        <w:rPr>
          <w:rFonts w:ascii="Times New Roman" w:hAnsi="Times New Roman" w:cs="Times New Roman"/>
          <w:b/>
          <w:sz w:val="24"/>
          <w:szCs w:val="24"/>
        </w:rPr>
        <w:t>Life, Physical, and Social Science Technicians</w:t>
      </w:r>
      <w:r>
        <w:rPr>
          <w:rFonts w:ascii="Times New Roman" w:hAnsi="Times New Roman" w:cs="Times New Roman"/>
          <w:sz w:val="24"/>
          <w:szCs w:val="24"/>
        </w:rPr>
        <w:t xml:space="preserve"> occupational family is predicted to add 74 new jobs to the Arkansas labor market.  </w:t>
      </w:r>
      <w:r w:rsidR="000B6BB8" w:rsidRPr="000B6BB8">
        <w:rPr>
          <w:rFonts w:ascii="Times New Roman" w:hAnsi="Times New Roman" w:cs="Times New Roman"/>
          <w:sz w:val="24"/>
          <w:szCs w:val="24"/>
        </w:rPr>
        <w:t>Agricultural and Food Science Technicians</w:t>
      </w:r>
      <w:r>
        <w:rPr>
          <w:rFonts w:ascii="Times New Roman" w:hAnsi="Times New Roman" w:cs="Times New Roman"/>
          <w:sz w:val="24"/>
          <w:szCs w:val="24"/>
        </w:rPr>
        <w:t xml:space="preserve"> lead</w:t>
      </w:r>
      <w:r w:rsidR="000B6B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group with </w:t>
      </w:r>
      <w:r w:rsidR="000B6BB8">
        <w:rPr>
          <w:rFonts w:ascii="Times New Roman" w:hAnsi="Times New Roman" w:cs="Times New Roman"/>
          <w:sz w:val="24"/>
          <w:szCs w:val="24"/>
        </w:rPr>
        <w:t>28</w:t>
      </w:r>
      <w:r w:rsidR="002605CD">
        <w:rPr>
          <w:rFonts w:ascii="Times New Roman" w:hAnsi="Times New Roman" w:cs="Times New Roman"/>
          <w:sz w:val="24"/>
          <w:szCs w:val="24"/>
        </w:rPr>
        <w:t xml:space="preserve"> new jobs, a </w:t>
      </w:r>
      <w:r w:rsidR="000B6BB8">
        <w:rPr>
          <w:rFonts w:ascii="Times New Roman" w:hAnsi="Times New Roman" w:cs="Times New Roman"/>
          <w:sz w:val="24"/>
          <w:szCs w:val="24"/>
        </w:rPr>
        <w:t>2</w:t>
      </w:r>
      <w:r w:rsidR="002605CD">
        <w:rPr>
          <w:rFonts w:ascii="Times New Roman" w:hAnsi="Times New Roman" w:cs="Times New Roman"/>
          <w:sz w:val="24"/>
          <w:szCs w:val="24"/>
        </w:rPr>
        <w:t>.</w:t>
      </w:r>
      <w:r w:rsidR="000B6BB8">
        <w:rPr>
          <w:rFonts w:ascii="Times New Roman" w:hAnsi="Times New Roman" w:cs="Times New Roman"/>
          <w:sz w:val="24"/>
          <w:szCs w:val="24"/>
        </w:rPr>
        <w:t>98</w:t>
      </w:r>
      <w:r w:rsidR="002605CD">
        <w:rPr>
          <w:rFonts w:ascii="Times New Roman" w:hAnsi="Times New Roman" w:cs="Times New Roman"/>
          <w:sz w:val="24"/>
          <w:szCs w:val="24"/>
        </w:rPr>
        <w:t xml:space="preserve"> percent gain.  The occupational family is forecast to have 3</w:t>
      </w:r>
      <w:r w:rsidR="00D94EF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2605CD">
        <w:rPr>
          <w:rFonts w:ascii="Times New Roman" w:hAnsi="Times New Roman" w:cs="Times New Roman"/>
          <w:sz w:val="24"/>
          <w:szCs w:val="24"/>
        </w:rPr>
        <w:t>3 annual job openings.</w:t>
      </w:r>
    </w:p>
    <w:p w:rsidR="00AD0C5B" w:rsidRPr="00CC2B88" w:rsidRDefault="00AD0C5B" w:rsidP="00AD0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C2635C" wp14:editId="4F6A8235">
            <wp:extent cx="6005195" cy="355282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0C5B" w:rsidRDefault="00AD0C5B" w:rsidP="00AD0C5B">
      <w:pPr>
        <w:rPr>
          <w:rFonts w:ascii="Times New Roman" w:hAnsi="Times New Roman" w:cs="Times New Roman"/>
          <w:sz w:val="24"/>
          <w:szCs w:val="24"/>
        </w:rPr>
      </w:pPr>
    </w:p>
    <w:p w:rsidR="00AD0C5B" w:rsidRDefault="00AD0C5B" w:rsidP="00AD0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44121786" wp14:editId="051D5B95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0C5B" w:rsidRDefault="00AD0C5B" w:rsidP="00AD0C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5CD" w:rsidRDefault="002605CD" w:rsidP="00AD0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5B" w:rsidRDefault="00AD0C5B" w:rsidP="00AD0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7B">
        <w:rPr>
          <w:rFonts w:ascii="Times New Roman" w:hAnsi="Times New Roman" w:cs="Times New Roman"/>
          <w:b/>
          <w:sz w:val="24"/>
          <w:szCs w:val="24"/>
        </w:rPr>
        <w:lastRenderedPageBreak/>
        <w:t>Workforce Development Area Outlook</w:t>
      </w:r>
      <w:r w:rsidRPr="003F1E7B">
        <w:rPr>
          <w:rFonts w:ascii="Times New Roman" w:hAnsi="Times New Roman" w:cs="Times New Roman"/>
          <w:b/>
          <w:sz w:val="24"/>
          <w:szCs w:val="24"/>
        </w:rPr>
        <w:br/>
      </w:r>
      <w:r w:rsidR="003A7E61" w:rsidRPr="003F1E7B">
        <w:rPr>
          <w:rFonts w:ascii="Times New Roman" w:hAnsi="Times New Roman" w:cs="Times New Roman"/>
          <w:b/>
          <w:sz w:val="24"/>
          <w:szCs w:val="24"/>
        </w:rPr>
        <w:t>Life, Physical, and Social Science</w:t>
      </w:r>
      <w:r w:rsidRPr="003F1E7B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047"/>
        <w:gridCol w:w="1106"/>
      </w:tblGrid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F1E7B" w:rsidRPr="003F1E7B" w:rsidRDefault="003F1E7B" w:rsidP="0019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3F1E7B" w:rsidRPr="003F1E7B" w:rsidRDefault="003F1E7B" w:rsidP="003F1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3F1E7B" w:rsidRPr="003F1E7B" w:rsidRDefault="003F1E7B" w:rsidP="003F1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F1E7B" w:rsidRPr="003F1E7B" w:rsidRDefault="003F1E7B" w:rsidP="0019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3F1E7B" w:rsidRPr="003F1E7B" w:rsidRDefault="003F1E7B" w:rsidP="0019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1E7B" w:rsidRPr="003F1E7B" w:rsidRDefault="003F1E7B" w:rsidP="0019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1E7B" w:rsidRPr="003F1E7B" w:rsidRDefault="003F1E7B" w:rsidP="0019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Openings-Transfers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3F1E7B" w:rsidRPr="003F1E7B" w:rsidRDefault="003F1E7B" w:rsidP="0019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F1E7B" w:rsidRPr="003F1E7B" w:rsidRDefault="003F1E7B" w:rsidP="0019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3F1E7B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Totals</w:t>
            </w:r>
          </w:p>
        </w:tc>
      </w:tr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</w:tr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</w:tr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1919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3F1E7B" w:rsidRPr="003F1E7B" w:rsidTr="003F1E7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F1E7B" w:rsidRPr="003F1E7B" w:rsidRDefault="003F1E7B" w:rsidP="003F1E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1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</w:tr>
    </w:tbl>
    <w:p w:rsidR="003F1E7B" w:rsidRPr="003F1E7B" w:rsidRDefault="003F1E7B" w:rsidP="00AD0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5B" w:rsidRPr="000D6138" w:rsidRDefault="00AD0C5B" w:rsidP="00AD0C5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0C5B" w:rsidRPr="00D935FB" w:rsidRDefault="00AD0C5B" w:rsidP="00AD0C5B">
      <w:pPr>
        <w:rPr>
          <w:rFonts w:ascii="Times New Roman" w:hAnsi="Times New Roman" w:cs="Times New Roman"/>
          <w:sz w:val="24"/>
          <w:szCs w:val="24"/>
        </w:rPr>
      </w:pPr>
    </w:p>
    <w:p w:rsidR="00026710" w:rsidRDefault="00026710"/>
    <w:sectPr w:rsidR="00026710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B2" w:rsidRDefault="00DA6FB2" w:rsidP="00DA6FB2">
      <w:pPr>
        <w:spacing w:after="0" w:line="240" w:lineRule="auto"/>
      </w:pPr>
      <w:r>
        <w:separator/>
      </w:r>
    </w:p>
  </w:endnote>
  <w:endnote w:type="continuationSeparator" w:id="0">
    <w:p w:rsidR="00DA6FB2" w:rsidRDefault="00DA6FB2" w:rsidP="00DA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B2" w:rsidRDefault="00DA6FB2" w:rsidP="00DA6FB2">
      <w:pPr>
        <w:spacing w:after="0" w:line="240" w:lineRule="auto"/>
      </w:pPr>
      <w:r>
        <w:separator/>
      </w:r>
    </w:p>
  </w:footnote>
  <w:footnote w:type="continuationSeparator" w:id="0">
    <w:p w:rsidR="00DA6FB2" w:rsidRDefault="00DA6FB2" w:rsidP="00DA6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C7"/>
    <w:rsid w:val="00026710"/>
    <w:rsid w:val="000B6BB8"/>
    <w:rsid w:val="002309C7"/>
    <w:rsid w:val="002605CD"/>
    <w:rsid w:val="002E1434"/>
    <w:rsid w:val="00393C5C"/>
    <w:rsid w:val="003A7E61"/>
    <w:rsid w:val="003F1E7B"/>
    <w:rsid w:val="005E4AB5"/>
    <w:rsid w:val="00613D98"/>
    <w:rsid w:val="006B1F8B"/>
    <w:rsid w:val="006D12B1"/>
    <w:rsid w:val="008C3A80"/>
    <w:rsid w:val="008D24F4"/>
    <w:rsid w:val="008F3C2D"/>
    <w:rsid w:val="00AD0C5B"/>
    <w:rsid w:val="00B80CD6"/>
    <w:rsid w:val="00D94EF9"/>
    <w:rsid w:val="00D974F2"/>
    <w:rsid w:val="00DA6FB2"/>
    <w:rsid w:val="00D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6EF1A-9430-4472-917F-A4E7ED8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0C5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D0C5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A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B2"/>
  </w:style>
  <w:style w:type="paragraph" w:styleId="Footer">
    <w:name w:val="footer"/>
    <w:basedOn w:val="Normal"/>
    <w:link w:val="FooterChar"/>
    <w:uiPriority w:val="99"/>
    <w:unhideWhenUsed/>
    <w:rsid w:val="00DA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Life, Physical,</a:t>
            </a:r>
            <a:r>
              <a:rPr lang="en-US" b="1" baseline="0"/>
              <a:t> and Social Science</a:t>
            </a:r>
            <a:r>
              <a:rPr lang="en-US" b="1"/>
              <a:t> Occupations</a:t>
            </a:r>
          </a:p>
        </c:rich>
      </c:tx>
      <c:layout>
        <c:manualLayout>
          <c:xMode val="edge"/>
          <c:yMode val="edge"/>
          <c:x val="0.23805405153371373"/>
          <c:y val="2.90777057693525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Life Scientists (19-1000)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211E-3"/>
                  <c:y val="0.1666565975928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Life, Physical, and Social Science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1.84E-2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Physical Scientists (19-2000)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445132089798914E-3"/>
                  <c:y val="0.174046287109553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Life, Physical, and Social Science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2.3900000000000001E-2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Social Scientists and Related Workers (19-3000)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296711430685491E-3"/>
                  <c:y val="0.214477211796246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Life, Physical, and Social Science Occupations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3.5799999999999998E-2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Life, Physical, and Social Science Technicians (19-4000)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574177857671488E-2"/>
                  <c:y val="0.1966041108132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Life, Physical, and Social Science Occupations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2.41E-2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213728"/>
        <c:axId val="195214288"/>
        <c:axId val="0"/>
      </c:bar3DChart>
      <c:catAx>
        <c:axId val="195213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195214288"/>
        <c:crosses val="autoZero"/>
        <c:auto val="1"/>
        <c:lblAlgn val="ctr"/>
        <c:lblOffset val="100"/>
        <c:noMultiLvlLbl val="0"/>
      </c:catAx>
      <c:valAx>
        <c:axId val="19521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21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483498037948805"/>
          <c:y val="0.73547641665435248"/>
          <c:w val="0.61993757072001821"/>
          <c:h val="0.250225102559231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7118451102703075"/>
          <c:y val="4.28864910404717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4696306905"/>
          <c:y val="0.17705064644697191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Life Scientists (19-1000)</c:v>
                </c:pt>
                <c:pt idx="1">
                  <c:v>Physical Scientists (19-2000)</c:v>
                </c:pt>
                <c:pt idx="2">
                  <c:v>Social Scientists and Related Workers (19-3000)</c:v>
                </c:pt>
                <c:pt idx="3">
                  <c:v>Life, Physical, and Social Science Technicians (19-4000)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38</c:v>
                </c:pt>
                <c:pt idx="1">
                  <c:v>24</c:v>
                </c:pt>
                <c:pt idx="2">
                  <c:v>36</c:v>
                </c:pt>
                <c:pt idx="3">
                  <c:v>106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Life Scientists (19-1000)</c:v>
                </c:pt>
                <c:pt idx="1">
                  <c:v>Physical Scientists (19-2000)</c:v>
                </c:pt>
                <c:pt idx="2">
                  <c:v>Social Scientists and Related Workers (19-3000)</c:v>
                </c:pt>
                <c:pt idx="3">
                  <c:v>Life, Physical, and Social Science Technicians (19-4000)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111</c:v>
                </c:pt>
                <c:pt idx="1">
                  <c:v>69</c:v>
                </c:pt>
                <c:pt idx="2">
                  <c:v>70</c:v>
                </c:pt>
                <c:pt idx="3">
                  <c:v>220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Life Scientists (19-1000)</c:v>
                </c:pt>
                <c:pt idx="1">
                  <c:v>Physical Scientists (19-2000)</c:v>
                </c:pt>
                <c:pt idx="2">
                  <c:v>Social Scientists and Related Workers (19-3000)</c:v>
                </c:pt>
                <c:pt idx="3">
                  <c:v>Life, Physical, and Social Science Technicians (19-4000)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16</c:v>
                </c:pt>
                <c:pt idx="1">
                  <c:v>12</c:v>
                </c:pt>
                <c:pt idx="2">
                  <c:v>26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0.1111967064722971"/>
                  <c:y val="1.980493179093384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Sheet1!$A$2:$A$5</c:f>
              <c:strCache>
                <c:ptCount val="4"/>
                <c:pt idx="0">
                  <c:v>Life Scientists (19-1000)</c:v>
                </c:pt>
                <c:pt idx="1">
                  <c:v>Physical Scientists (19-2000)</c:v>
                </c:pt>
                <c:pt idx="2">
                  <c:v>Social Scientists and Related Workers (19-3000)</c:v>
                </c:pt>
                <c:pt idx="3">
                  <c:v>Life, Physical, and Social Science Technicians (19-4000)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165</c:v>
                </c:pt>
                <c:pt idx="1">
                  <c:v>105</c:v>
                </c:pt>
                <c:pt idx="2">
                  <c:v>132</c:v>
                </c:pt>
                <c:pt idx="3">
                  <c:v>363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5218208"/>
        <c:axId val="195218768"/>
      </c:barChart>
      <c:catAx>
        <c:axId val="19521820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195218768"/>
        <c:crosses val="autoZero"/>
        <c:auto val="1"/>
        <c:lblAlgn val="ctr"/>
        <c:lblOffset val="100"/>
        <c:tickLblSkip val="1"/>
        <c:noMultiLvlLbl val="0"/>
      </c:catAx>
      <c:valAx>
        <c:axId val="195218768"/>
        <c:scaling>
          <c:orientation val="minMax"/>
          <c:max val="4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high"/>
        <c:spPr>
          <a:ln w="9525">
            <a:noFill/>
          </a:ln>
        </c:spPr>
        <c:crossAx val="195218208"/>
        <c:crosses val="autoZero"/>
        <c:crossBetween val="between"/>
        <c:majorUnit val="1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5761454060666659"/>
          <c:y val="0.77199831502543659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0.45599</cdr:x>
      <cdr:y>0.85443</cdr:y>
    </cdr:from>
    <cdr:to>
      <cdr:x>1</cdr:x>
      <cdr:y>0.94074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09910" y="3296085"/>
          <a:ext cx="3590915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12</cp:revision>
  <dcterms:created xsi:type="dcterms:W3CDTF">2018-06-19T20:26:00Z</dcterms:created>
  <dcterms:modified xsi:type="dcterms:W3CDTF">2019-08-09T17:45:00Z</dcterms:modified>
</cp:coreProperties>
</file>