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20" w:right="-15"/>
        <w:rPr>
          <w:rFonts w:ascii="Times New Roman"/>
          <w:sz w:val="20"/>
        </w:rPr>
      </w:pPr>
      <w:r>
        <w:rPr>
          <w:rFonts w:ascii="Times New Roman"/>
          <w:sz w:val="20"/>
        </w:rPr>
        <w:drawing>
          <wp:inline distT="0" distB="0" distL="0" distR="0">
            <wp:extent cx="6915150" cy="1613534"/>
            <wp:effectExtent l="0" t="0" r="0" b="0"/>
            <wp:docPr id="1" name="Image 1" descr="A picture containing text  Description automatically generated "/>
            <wp:cNvGraphicFramePr>
              <a:graphicFrameLocks/>
            </wp:cNvGraphicFramePr>
            <a:graphic>
              <a:graphicData uri="http://schemas.openxmlformats.org/drawingml/2006/picture">
                <pic:pic>
                  <pic:nvPicPr>
                    <pic:cNvPr id="1" name="Image 1" descr="A picture containing text  Description automatically generated "/>
                    <pic:cNvPicPr/>
                  </pic:nvPicPr>
                  <pic:blipFill>
                    <a:blip r:embed="rId5" cstate="print"/>
                    <a:stretch>
                      <a:fillRect/>
                    </a:stretch>
                  </pic:blipFill>
                  <pic:spPr>
                    <a:xfrm>
                      <a:off x="0" y="0"/>
                      <a:ext cx="6915150" cy="1613534"/>
                    </a:xfrm>
                    <a:prstGeom prst="rect">
                      <a:avLst/>
                    </a:prstGeom>
                  </pic:spPr>
                </pic:pic>
              </a:graphicData>
            </a:graphic>
          </wp:inline>
        </w:drawing>
      </w:r>
      <w:r>
        <w:rPr>
          <w:rFonts w:ascii="Times New Roman"/>
          <w:sz w:val="20"/>
        </w:rPr>
      </w:r>
    </w:p>
    <w:p>
      <w:pPr>
        <w:spacing w:before="248"/>
        <w:ind w:left="120" w:right="0" w:firstLine="0"/>
        <w:jc w:val="left"/>
        <w:rPr>
          <w:b/>
          <w:sz w:val="22"/>
        </w:rPr>
      </w:pPr>
      <w:r>
        <w:rPr>
          <w:b/>
          <w:sz w:val="22"/>
        </w:rPr>
        <w:t>FOR</w:t>
      </w:r>
      <w:r>
        <w:rPr>
          <w:b/>
          <w:spacing w:val="-9"/>
          <w:sz w:val="22"/>
        </w:rPr>
        <w:t> </w:t>
      </w:r>
      <w:r>
        <w:rPr>
          <w:b/>
          <w:sz w:val="22"/>
        </w:rPr>
        <w:t>IMMEDIATE</w:t>
      </w:r>
      <w:r>
        <w:rPr>
          <w:b/>
          <w:spacing w:val="-9"/>
          <w:sz w:val="22"/>
        </w:rPr>
        <w:t> </w:t>
      </w:r>
      <w:r>
        <w:rPr>
          <w:b/>
          <w:spacing w:val="-2"/>
          <w:sz w:val="22"/>
        </w:rPr>
        <w:t>RELEASE</w:t>
      </w:r>
    </w:p>
    <w:p>
      <w:pPr>
        <w:spacing w:before="0"/>
        <w:ind w:left="120" w:right="0" w:firstLine="0"/>
        <w:jc w:val="left"/>
        <w:rPr>
          <w:sz w:val="22"/>
        </w:rPr>
      </w:pPr>
      <w:r>
        <w:rPr>
          <w:sz w:val="22"/>
        </w:rPr>
        <w:t>Contact:</w:t>
      </w:r>
      <w:r>
        <w:rPr>
          <w:spacing w:val="-9"/>
          <w:sz w:val="22"/>
        </w:rPr>
        <w:t> </w:t>
      </w:r>
      <w:r>
        <w:rPr>
          <w:sz w:val="22"/>
        </w:rPr>
        <w:t>Zoe</w:t>
      </w:r>
      <w:r>
        <w:rPr>
          <w:spacing w:val="-6"/>
          <w:sz w:val="22"/>
        </w:rPr>
        <w:t> </w:t>
      </w:r>
      <w:r>
        <w:rPr>
          <w:sz w:val="22"/>
        </w:rPr>
        <w:t>Dell,</w:t>
      </w:r>
      <w:r>
        <w:rPr>
          <w:spacing w:val="-7"/>
          <w:sz w:val="22"/>
        </w:rPr>
        <w:t> </w:t>
      </w:r>
      <w:hyperlink r:id="rId6">
        <w:r>
          <w:rPr>
            <w:color w:val="0000FF"/>
            <w:spacing w:val="-2"/>
            <w:sz w:val="22"/>
            <w:u w:val="single" w:color="0000FF"/>
          </w:rPr>
          <w:t>zoe.dell@arkansas.gov</w:t>
        </w:r>
      </w:hyperlink>
    </w:p>
    <w:p>
      <w:pPr>
        <w:pStyle w:val="Title"/>
      </w:pPr>
      <w:r>
        <w:rPr/>
        <w:t>Arkansas’</w:t>
      </w:r>
      <w:r>
        <w:rPr>
          <w:spacing w:val="-7"/>
        </w:rPr>
        <w:t> </w:t>
      </w:r>
      <w:r>
        <w:rPr/>
        <w:t>unemployment</w:t>
      </w:r>
      <w:r>
        <w:rPr>
          <w:spacing w:val="-4"/>
        </w:rPr>
        <w:t> </w:t>
      </w:r>
      <w:r>
        <w:rPr/>
        <w:t>rate</w:t>
      </w:r>
      <w:r>
        <w:rPr>
          <w:spacing w:val="-5"/>
        </w:rPr>
        <w:t> </w:t>
      </w:r>
      <w:r>
        <w:rPr/>
        <w:t>increases</w:t>
      </w:r>
      <w:r>
        <w:rPr>
          <w:spacing w:val="-4"/>
        </w:rPr>
        <w:t> </w:t>
      </w:r>
      <w:r>
        <w:rPr/>
        <w:t>to</w:t>
      </w:r>
      <w:r>
        <w:rPr>
          <w:spacing w:val="-4"/>
        </w:rPr>
        <w:t> </w:t>
      </w:r>
      <w:r>
        <w:rPr/>
        <w:t>3.7%</w:t>
      </w:r>
      <w:r>
        <w:rPr>
          <w:spacing w:val="-3"/>
        </w:rPr>
        <w:t> </w:t>
      </w:r>
      <w:r>
        <w:rPr/>
        <w:t>in</w:t>
      </w:r>
      <w:r>
        <w:rPr>
          <w:spacing w:val="-4"/>
        </w:rPr>
        <w:t> </w:t>
      </w:r>
      <w:r>
        <w:rPr>
          <w:spacing w:val="-2"/>
        </w:rPr>
        <w:t>March</w:t>
      </w:r>
    </w:p>
    <w:p>
      <w:pPr>
        <w:pStyle w:val="BodyText"/>
        <w:spacing w:line="259" w:lineRule="auto" w:before="154"/>
        <w:ind w:left="119" w:right="117"/>
        <w:jc w:val="both"/>
      </w:pPr>
      <w:r>
        <w:rPr>
          <w:b/>
        </w:rPr>
        <w:t>LITTLE ROCK, Ark. (April 18, 2025) </w:t>
      </w:r>
      <w:r>
        <w:rPr/>
        <w:t>Today, the Arkansas Department of Commerce, in conjunction with the Bureau of Labor Statistics, announced Arkansas’ seasonally adjusted unemployment rate rose one-tenth of a percentage point, from 3.6% in February to 3.7% in March.</w:t>
      </w:r>
      <w:r>
        <w:rPr>
          <w:spacing w:val="40"/>
        </w:rPr>
        <w:t> </w:t>
      </w:r>
      <w:r>
        <w:rPr/>
        <w:t>The United States’ jobless rate also increased one- tenth of a percentage point over the month, up to 4.2% in March.</w:t>
      </w:r>
    </w:p>
    <w:p>
      <w:pPr>
        <w:pStyle w:val="BodyText"/>
        <w:spacing w:before="105"/>
        <w:ind w:left="120"/>
        <w:jc w:val="both"/>
      </w:pPr>
      <w:r>
        <w:rPr>
          <w:u w:val="single"/>
        </w:rPr>
        <w:t>Arkansas</w:t>
      </w:r>
      <w:r>
        <w:rPr>
          <w:spacing w:val="-3"/>
          <w:u w:val="single"/>
        </w:rPr>
        <w:t> </w:t>
      </w:r>
      <w:r>
        <w:rPr>
          <w:u w:val="single"/>
        </w:rPr>
        <w:t>Civilian</w:t>
      </w:r>
      <w:r>
        <w:rPr>
          <w:spacing w:val="-3"/>
          <w:u w:val="single"/>
        </w:rPr>
        <w:t> </w:t>
      </w:r>
      <w:r>
        <w:rPr>
          <w:u w:val="single"/>
        </w:rPr>
        <w:t>Labor</w:t>
      </w:r>
      <w:r>
        <w:rPr>
          <w:spacing w:val="-2"/>
          <w:u w:val="single"/>
        </w:rPr>
        <w:t> </w:t>
      </w:r>
      <w:r>
        <w:rPr>
          <w:u w:val="single"/>
        </w:rPr>
        <w:t>Force</w:t>
      </w:r>
      <w:r>
        <w:rPr>
          <w:spacing w:val="-2"/>
          <w:u w:val="single"/>
        </w:rPr>
        <w:t> Summary:</w:t>
      </w:r>
    </w:p>
    <w:p>
      <w:pPr>
        <w:pStyle w:val="ListParagraph"/>
        <w:numPr>
          <w:ilvl w:val="0"/>
          <w:numId w:val="1"/>
        </w:numPr>
        <w:tabs>
          <w:tab w:pos="839" w:val="left" w:leader="none"/>
        </w:tabs>
        <w:spacing w:line="259" w:lineRule="auto" w:before="129" w:after="0"/>
        <w:ind w:left="839" w:right="116" w:hanging="360"/>
        <w:jc w:val="both"/>
        <w:rPr>
          <w:sz w:val="24"/>
        </w:rPr>
      </w:pPr>
      <w:r>
        <w:rPr>
          <w:sz w:val="24"/>
        </w:rPr>
        <w:t>Arkansas’ civilian labor force increased by 260 in March, a result of 502 more unemployed job seekers and 242 fewer employed Arkansans.</w:t>
      </w:r>
      <w:r>
        <w:rPr>
          <w:spacing w:val="40"/>
          <w:sz w:val="24"/>
        </w:rPr>
        <w:t> </w:t>
      </w:r>
      <w:r>
        <w:rPr>
          <w:sz w:val="24"/>
        </w:rPr>
        <w:t>The unemployment rate increased by one-tenth of a percentage point, while the labor force participation rate remained stable over the month.</w:t>
      </w:r>
    </w:p>
    <w:p>
      <w:pPr>
        <w:pStyle w:val="ListParagraph"/>
        <w:numPr>
          <w:ilvl w:val="0"/>
          <w:numId w:val="1"/>
        </w:numPr>
        <w:tabs>
          <w:tab w:pos="840" w:val="left" w:leader="none"/>
        </w:tabs>
        <w:spacing w:line="259" w:lineRule="auto" w:before="105" w:after="0"/>
        <w:ind w:left="840" w:right="117" w:hanging="360"/>
        <w:jc w:val="both"/>
        <w:rPr>
          <w:sz w:val="24"/>
        </w:rPr>
      </w:pPr>
      <w:r>
        <w:rPr>
          <w:sz w:val="24"/>
        </w:rPr>
        <w:t>Compared to March 2024, there are 15,686 more employed in the State.</w:t>
      </w:r>
      <w:r>
        <w:rPr>
          <w:spacing w:val="40"/>
          <w:sz w:val="24"/>
        </w:rPr>
        <w:t> </w:t>
      </w:r>
      <w:r>
        <w:rPr>
          <w:sz w:val="24"/>
        </w:rPr>
        <w:t>There are 4,739 more unemployed Arkansans actively seeking work, as the unemployment rate is up from 3.4%.</w:t>
      </w:r>
      <w:r>
        <w:rPr>
          <w:spacing w:val="40"/>
          <w:sz w:val="24"/>
        </w:rPr>
        <w:t> </w:t>
      </w:r>
      <w:r>
        <w:rPr>
          <w:sz w:val="24"/>
        </w:rPr>
        <w:t>Arkansas’ labor force participation rate is up four-tenths of a percentage point over the year.</w:t>
      </w:r>
    </w:p>
    <w:p>
      <w:pPr>
        <w:pStyle w:val="BodyText"/>
        <w:spacing w:before="104"/>
        <w:ind w:left="120"/>
        <w:jc w:val="both"/>
      </w:pPr>
      <w:r>
        <w:rPr>
          <w:u w:val="single"/>
        </w:rPr>
        <w:t>Arkansas</w:t>
      </w:r>
      <w:r>
        <w:rPr>
          <w:spacing w:val="-4"/>
          <w:u w:val="single"/>
        </w:rPr>
        <w:t> </w:t>
      </w:r>
      <w:r>
        <w:rPr>
          <w:u w:val="single"/>
        </w:rPr>
        <w:t>Nonfarm</w:t>
      </w:r>
      <w:r>
        <w:rPr>
          <w:spacing w:val="-2"/>
          <w:u w:val="single"/>
        </w:rPr>
        <w:t> </w:t>
      </w:r>
      <w:r>
        <w:rPr>
          <w:u w:val="single"/>
        </w:rPr>
        <w:t>Payroll</w:t>
      </w:r>
      <w:r>
        <w:rPr>
          <w:spacing w:val="-3"/>
          <w:u w:val="single"/>
        </w:rPr>
        <w:t> </w:t>
      </w:r>
      <w:r>
        <w:rPr>
          <w:u w:val="single"/>
        </w:rPr>
        <w:t>Job</w:t>
      </w:r>
      <w:r>
        <w:rPr>
          <w:spacing w:val="-3"/>
          <w:u w:val="single"/>
        </w:rPr>
        <w:t> </w:t>
      </w:r>
      <w:r>
        <w:rPr>
          <w:spacing w:val="-2"/>
          <w:u w:val="single"/>
        </w:rPr>
        <w:t>Summary:</w:t>
      </w:r>
    </w:p>
    <w:p>
      <w:pPr>
        <w:pStyle w:val="ListParagraph"/>
        <w:numPr>
          <w:ilvl w:val="0"/>
          <w:numId w:val="1"/>
        </w:numPr>
        <w:tabs>
          <w:tab w:pos="840" w:val="left" w:leader="none"/>
        </w:tabs>
        <w:spacing w:line="259" w:lineRule="auto" w:before="129" w:after="0"/>
        <w:ind w:left="840" w:right="116" w:hanging="360"/>
        <w:jc w:val="both"/>
        <w:rPr>
          <w:sz w:val="24"/>
        </w:rPr>
      </w:pPr>
      <w:r>
        <w:rPr>
          <w:sz w:val="24"/>
        </w:rPr>
        <w:t>Nonfarm</w:t>
      </w:r>
      <w:r>
        <w:rPr>
          <w:spacing w:val="-12"/>
          <w:sz w:val="24"/>
        </w:rPr>
        <w:t> </w:t>
      </w:r>
      <w:r>
        <w:rPr>
          <w:sz w:val="24"/>
        </w:rPr>
        <w:t>payroll</w:t>
      </w:r>
      <w:r>
        <w:rPr>
          <w:spacing w:val="-12"/>
          <w:sz w:val="24"/>
        </w:rPr>
        <w:t> </w:t>
      </w:r>
      <w:r>
        <w:rPr>
          <w:sz w:val="24"/>
        </w:rPr>
        <w:t>jobs</w:t>
      </w:r>
      <w:r>
        <w:rPr>
          <w:spacing w:val="-13"/>
          <w:sz w:val="24"/>
        </w:rPr>
        <w:t> </w:t>
      </w:r>
      <w:r>
        <w:rPr>
          <w:sz w:val="24"/>
        </w:rPr>
        <w:t>in</w:t>
      </w:r>
      <w:r>
        <w:rPr>
          <w:spacing w:val="-12"/>
          <w:sz w:val="24"/>
        </w:rPr>
        <w:t> </w:t>
      </w:r>
      <w:r>
        <w:rPr>
          <w:sz w:val="24"/>
        </w:rPr>
        <w:t>Arkansas</w:t>
      </w:r>
      <w:r>
        <w:rPr>
          <w:spacing w:val="-13"/>
          <w:sz w:val="24"/>
        </w:rPr>
        <w:t> </w:t>
      </w:r>
      <w:r>
        <w:rPr>
          <w:sz w:val="24"/>
        </w:rPr>
        <w:t>rose</w:t>
      </w:r>
      <w:r>
        <w:rPr>
          <w:spacing w:val="-12"/>
          <w:sz w:val="24"/>
        </w:rPr>
        <w:t> </w:t>
      </w:r>
      <w:r>
        <w:rPr>
          <w:sz w:val="24"/>
        </w:rPr>
        <w:t>5,200</w:t>
      </w:r>
      <w:r>
        <w:rPr>
          <w:spacing w:val="-12"/>
          <w:sz w:val="24"/>
        </w:rPr>
        <w:t> </w:t>
      </w:r>
      <w:r>
        <w:rPr>
          <w:sz w:val="24"/>
        </w:rPr>
        <w:t>in</w:t>
      </w:r>
      <w:r>
        <w:rPr>
          <w:spacing w:val="-12"/>
          <w:sz w:val="24"/>
        </w:rPr>
        <w:t> </w:t>
      </w:r>
      <w:r>
        <w:rPr>
          <w:sz w:val="24"/>
        </w:rPr>
        <w:t>March</w:t>
      </w:r>
      <w:r>
        <w:rPr>
          <w:spacing w:val="-12"/>
          <w:sz w:val="24"/>
        </w:rPr>
        <w:t> </w:t>
      </w:r>
      <w:r>
        <w:rPr>
          <w:sz w:val="24"/>
        </w:rPr>
        <w:t>to</w:t>
      </w:r>
      <w:r>
        <w:rPr>
          <w:spacing w:val="-12"/>
          <w:sz w:val="24"/>
        </w:rPr>
        <w:t> </w:t>
      </w:r>
      <w:r>
        <w:rPr>
          <w:sz w:val="24"/>
        </w:rPr>
        <w:t>total</w:t>
      </w:r>
      <w:r>
        <w:rPr>
          <w:spacing w:val="-13"/>
          <w:sz w:val="24"/>
        </w:rPr>
        <w:t> </w:t>
      </w:r>
      <w:r>
        <w:rPr>
          <w:sz w:val="24"/>
        </w:rPr>
        <w:t>1,378,100.</w:t>
      </w:r>
      <w:r>
        <w:rPr>
          <w:spacing w:val="34"/>
          <w:sz w:val="24"/>
        </w:rPr>
        <w:t> </w:t>
      </w:r>
      <w:r>
        <w:rPr>
          <w:sz w:val="24"/>
        </w:rPr>
        <w:t>The</w:t>
      </w:r>
      <w:r>
        <w:rPr>
          <w:spacing w:val="-12"/>
          <w:sz w:val="24"/>
        </w:rPr>
        <w:t> </w:t>
      </w:r>
      <w:r>
        <w:rPr>
          <w:sz w:val="24"/>
        </w:rPr>
        <w:t>greatest</w:t>
      </w:r>
      <w:r>
        <w:rPr>
          <w:spacing w:val="-14"/>
          <w:sz w:val="24"/>
        </w:rPr>
        <w:t> </w:t>
      </w:r>
      <w:r>
        <w:rPr>
          <w:sz w:val="24"/>
        </w:rPr>
        <w:t>gains</w:t>
      </w:r>
      <w:r>
        <w:rPr>
          <w:spacing w:val="-12"/>
          <w:sz w:val="24"/>
        </w:rPr>
        <w:t> </w:t>
      </w:r>
      <w:r>
        <w:rPr>
          <w:sz w:val="24"/>
        </w:rPr>
        <w:t>were</w:t>
      </w:r>
      <w:r>
        <w:rPr>
          <w:spacing w:val="-12"/>
          <w:sz w:val="24"/>
        </w:rPr>
        <w:t> </w:t>
      </w:r>
      <w:r>
        <w:rPr>
          <w:sz w:val="24"/>
        </w:rPr>
        <w:t>posted in Leisure and Hospitality (+3,200), Manufacturing (+1,200), Construction (+1,100), and Private Education and Health Services</w:t>
      </w:r>
      <w:r>
        <w:rPr>
          <w:spacing w:val="-1"/>
          <w:sz w:val="24"/>
        </w:rPr>
        <w:t> </w:t>
      </w:r>
      <w:r>
        <w:rPr>
          <w:sz w:val="24"/>
        </w:rPr>
        <w:t>(+1,100).</w:t>
      </w:r>
      <w:r>
        <w:rPr>
          <w:spacing w:val="40"/>
          <w:sz w:val="24"/>
        </w:rPr>
        <w:t> </w:t>
      </w:r>
      <w:r>
        <w:rPr>
          <w:sz w:val="24"/>
        </w:rPr>
        <w:t>The largest loss</w:t>
      </w:r>
      <w:r>
        <w:rPr>
          <w:spacing w:val="-1"/>
          <w:sz w:val="24"/>
        </w:rPr>
        <w:t> </w:t>
      </w:r>
      <w:r>
        <w:rPr>
          <w:sz w:val="24"/>
        </w:rPr>
        <w:t>occurred in Professional and Business Services (-2,100), mostly due to declines in administrative and support services (-1,900).</w:t>
      </w:r>
    </w:p>
    <w:p>
      <w:pPr>
        <w:pStyle w:val="ListParagraph"/>
        <w:numPr>
          <w:ilvl w:val="0"/>
          <w:numId w:val="1"/>
        </w:numPr>
        <w:tabs>
          <w:tab w:pos="840" w:val="left" w:leader="none"/>
        </w:tabs>
        <w:spacing w:line="259" w:lineRule="auto" w:before="105" w:after="0"/>
        <w:ind w:left="840" w:right="116" w:hanging="360"/>
        <w:jc w:val="both"/>
        <w:rPr>
          <w:sz w:val="24"/>
        </w:rPr>
      </w:pPr>
      <w:r>
        <w:rPr>
          <w:sz w:val="24"/>
        </w:rPr>
        <w:t>Compared to March 2024, there are 13,000 more jobs in the State.</w:t>
      </w:r>
      <w:r>
        <w:rPr>
          <w:spacing w:val="40"/>
          <w:sz w:val="24"/>
        </w:rPr>
        <w:t> </w:t>
      </w:r>
      <w:r>
        <w:rPr>
          <w:sz w:val="24"/>
        </w:rPr>
        <w:t>The largest annual growth was in Private</w:t>
      </w:r>
      <w:r>
        <w:rPr>
          <w:spacing w:val="-7"/>
          <w:sz w:val="24"/>
        </w:rPr>
        <w:t> </w:t>
      </w:r>
      <w:r>
        <w:rPr>
          <w:sz w:val="24"/>
        </w:rPr>
        <w:t>Education</w:t>
      </w:r>
      <w:r>
        <w:rPr>
          <w:spacing w:val="-8"/>
          <w:sz w:val="24"/>
        </w:rPr>
        <w:t> </w:t>
      </w:r>
      <w:r>
        <w:rPr>
          <w:sz w:val="24"/>
        </w:rPr>
        <w:t>and</w:t>
      </w:r>
      <w:r>
        <w:rPr>
          <w:spacing w:val="-8"/>
          <w:sz w:val="24"/>
        </w:rPr>
        <w:t> </w:t>
      </w:r>
      <w:r>
        <w:rPr>
          <w:sz w:val="24"/>
        </w:rPr>
        <w:t>Health</w:t>
      </w:r>
      <w:r>
        <w:rPr>
          <w:spacing w:val="-8"/>
          <w:sz w:val="24"/>
        </w:rPr>
        <w:t> </w:t>
      </w:r>
      <w:r>
        <w:rPr>
          <w:sz w:val="24"/>
        </w:rPr>
        <w:t>Services</w:t>
      </w:r>
      <w:r>
        <w:rPr>
          <w:spacing w:val="-8"/>
          <w:sz w:val="24"/>
        </w:rPr>
        <w:t> </w:t>
      </w:r>
      <w:r>
        <w:rPr>
          <w:sz w:val="24"/>
        </w:rPr>
        <w:t>(+7,500),</w:t>
      </w:r>
      <w:r>
        <w:rPr>
          <w:spacing w:val="-7"/>
          <w:sz w:val="24"/>
        </w:rPr>
        <w:t> </w:t>
      </w:r>
      <w:r>
        <w:rPr>
          <w:sz w:val="24"/>
        </w:rPr>
        <w:t>with</w:t>
      </w:r>
      <w:r>
        <w:rPr>
          <w:spacing w:val="-8"/>
          <w:sz w:val="24"/>
        </w:rPr>
        <w:t> </w:t>
      </w:r>
      <w:r>
        <w:rPr>
          <w:sz w:val="24"/>
        </w:rPr>
        <w:t>health</w:t>
      </w:r>
      <w:r>
        <w:rPr>
          <w:spacing w:val="-9"/>
          <w:sz w:val="24"/>
        </w:rPr>
        <w:t> </w:t>
      </w:r>
      <w:r>
        <w:rPr>
          <w:sz w:val="24"/>
        </w:rPr>
        <w:t>care</w:t>
      </w:r>
      <w:r>
        <w:rPr>
          <w:spacing w:val="-8"/>
          <w:sz w:val="24"/>
        </w:rPr>
        <w:t> </w:t>
      </w:r>
      <w:r>
        <w:rPr>
          <w:sz w:val="24"/>
        </w:rPr>
        <w:t>and</w:t>
      </w:r>
      <w:r>
        <w:rPr>
          <w:spacing w:val="-8"/>
          <w:sz w:val="24"/>
        </w:rPr>
        <w:t> </w:t>
      </w:r>
      <w:r>
        <w:rPr>
          <w:sz w:val="24"/>
        </w:rPr>
        <w:t>social</w:t>
      </w:r>
      <w:r>
        <w:rPr>
          <w:spacing w:val="-7"/>
          <w:sz w:val="24"/>
        </w:rPr>
        <w:t> </w:t>
      </w:r>
      <w:r>
        <w:rPr>
          <w:sz w:val="24"/>
        </w:rPr>
        <w:t>assistance</w:t>
      </w:r>
      <w:r>
        <w:rPr>
          <w:spacing w:val="-7"/>
          <w:sz w:val="24"/>
        </w:rPr>
        <w:t> </w:t>
      </w:r>
      <w:r>
        <w:rPr>
          <w:sz w:val="24"/>
        </w:rPr>
        <w:t>adding</w:t>
      </w:r>
      <w:r>
        <w:rPr>
          <w:spacing w:val="-8"/>
          <w:sz w:val="24"/>
        </w:rPr>
        <w:t> </w:t>
      </w:r>
      <w:r>
        <w:rPr>
          <w:sz w:val="24"/>
        </w:rPr>
        <w:t>7,100</w:t>
      </w:r>
      <w:r>
        <w:rPr>
          <w:spacing w:val="-8"/>
          <w:sz w:val="24"/>
        </w:rPr>
        <w:t> </w:t>
      </w:r>
      <w:r>
        <w:rPr>
          <w:sz w:val="24"/>
        </w:rPr>
        <w:t>jobs. Other notable gains were posted in Trade-Transportation-Utilities (+4,700) and in Manufacturing </w:t>
      </w:r>
      <w:r>
        <w:rPr>
          <w:spacing w:val="-2"/>
          <w:sz w:val="24"/>
        </w:rPr>
        <w:t>(+2,100).</w:t>
      </w:r>
    </w:p>
    <w:p>
      <w:pPr>
        <w:pStyle w:val="BodyText"/>
        <w:spacing w:before="21"/>
      </w:pPr>
    </w:p>
    <w:p>
      <w:pPr>
        <w:pStyle w:val="Heading1"/>
        <w:ind w:left="90"/>
      </w:pPr>
      <w:r>
        <w:rPr/>
        <w:t>Arkansas</w:t>
      </w:r>
      <w:r>
        <w:rPr>
          <w:spacing w:val="-4"/>
        </w:rPr>
        <w:t> </w:t>
      </w:r>
      <w:r>
        <w:rPr/>
        <w:t>Civilian</w:t>
      </w:r>
      <w:r>
        <w:rPr>
          <w:spacing w:val="-4"/>
        </w:rPr>
        <w:t> </w:t>
      </w:r>
      <w:r>
        <w:rPr/>
        <w:t>Labor</w:t>
      </w:r>
      <w:r>
        <w:rPr>
          <w:spacing w:val="-3"/>
        </w:rPr>
        <w:t> </w:t>
      </w:r>
      <w:r>
        <w:rPr/>
        <w:t>Force</w:t>
      </w:r>
      <w:r>
        <w:rPr>
          <w:spacing w:val="-4"/>
        </w:rPr>
        <w:t> </w:t>
      </w:r>
      <w:r>
        <w:rPr/>
        <w:t>(Seasonally</w:t>
      </w:r>
      <w:r>
        <w:rPr>
          <w:spacing w:val="-3"/>
        </w:rPr>
        <w:t> </w:t>
      </w:r>
      <w:r>
        <w:rPr>
          <w:spacing w:val="-2"/>
        </w:rPr>
        <w:t>Adjusted)</w:t>
      </w:r>
    </w:p>
    <w:p>
      <w:pPr>
        <w:pStyle w:val="BodyText"/>
        <w:spacing w:before="7"/>
        <w:rPr>
          <w:b/>
          <w:sz w:val="10"/>
        </w:rPr>
      </w:pPr>
    </w:p>
    <w:tbl>
      <w:tblPr>
        <w:tblW w:w="0" w:type="auto"/>
        <w:jc w:val="left"/>
        <w:tblInd w:w="129"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CellMar>
          <w:top w:w="0" w:type="dxa"/>
          <w:left w:w="0" w:type="dxa"/>
          <w:bottom w:w="0" w:type="dxa"/>
          <w:right w:w="0" w:type="dxa"/>
        </w:tblCellMar>
        <w:tblLook w:val="01E0"/>
      </w:tblPr>
      <w:tblGrid>
        <w:gridCol w:w="3595"/>
        <w:gridCol w:w="1260"/>
        <w:gridCol w:w="1235"/>
        <w:gridCol w:w="1157"/>
        <w:gridCol w:w="1659"/>
        <w:gridCol w:w="1441"/>
      </w:tblGrid>
      <w:tr>
        <w:trPr>
          <w:trHeight w:val="539" w:hRule="atLeast"/>
        </w:trPr>
        <w:tc>
          <w:tcPr>
            <w:tcW w:w="3595" w:type="dxa"/>
            <w:tcBorders>
              <w:bottom w:val="single" w:sz="12" w:space="0" w:color="9CC2E4"/>
            </w:tcBorders>
          </w:tcPr>
          <w:p>
            <w:pPr>
              <w:pStyle w:val="TableParagraph"/>
              <w:spacing w:line="240" w:lineRule="auto" w:before="0"/>
              <w:ind w:right="0"/>
              <w:jc w:val="left"/>
              <w:rPr>
                <w:rFonts w:ascii="Times New Roman"/>
                <w:sz w:val="22"/>
              </w:rPr>
            </w:pPr>
          </w:p>
        </w:tc>
        <w:tc>
          <w:tcPr>
            <w:tcW w:w="1260" w:type="dxa"/>
            <w:tcBorders>
              <w:bottom w:val="single" w:sz="12" w:space="0" w:color="9CC2E4"/>
            </w:tcBorders>
          </w:tcPr>
          <w:p>
            <w:pPr>
              <w:pStyle w:val="TableParagraph"/>
              <w:spacing w:line="270" w:lineRule="atLeast" w:before="0"/>
              <w:ind w:left="705" w:right="88" w:hanging="132"/>
              <w:jc w:val="left"/>
              <w:rPr>
                <w:sz w:val="22"/>
              </w:rPr>
            </w:pPr>
            <w:r>
              <w:rPr>
                <w:spacing w:val="-2"/>
                <w:sz w:val="22"/>
              </w:rPr>
              <w:t>March </w:t>
            </w:r>
            <w:r>
              <w:rPr>
                <w:spacing w:val="-4"/>
                <w:sz w:val="22"/>
              </w:rPr>
              <w:t>2025</w:t>
            </w:r>
          </w:p>
        </w:tc>
        <w:tc>
          <w:tcPr>
            <w:tcW w:w="1235" w:type="dxa"/>
            <w:tcBorders>
              <w:bottom w:val="single" w:sz="12" w:space="0" w:color="9CC2E4"/>
            </w:tcBorders>
          </w:tcPr>
          <w:p>
            <w:pPr>
              <w:pStyle w:val="TableParagraph"/>
              <w:spacing w:line="240" w:lineRule="auto" w:before="0"/>
              <w:rPr>
                <w:sz w:val="22"/>
              </w:rPr>
            </w:pPr>
            <w:r>
              <w:rPr>
                <w:spacing w:val="-2"/>
                <w:sz w:val="22"/>
              </w:rPr>
              <w:t>February</w:t>
            </w:r>
          </w:p>
          <w:p>
            <w:pPr>
              <w:pStyle w:val="TableParagraph"/>
              <w:spacing w:line="251" w:lineRule="exact" w:before="0"/>
              <w:rPr>
                <w:sz w:val="22"/>
              </w:rPr>
            </w:pPr>
            <w:r>
              <w:rPr>
                <w:spacing w:val="-4"/>
                <w:sz w:val="22"/>
              </w:rPr>
              <w:t>2025</w:t>
            </w:r>
          </w:p>
        </w:tc>
        <w:tc>
          <w:tcPr>
            <w:tcW w:w="1157" w:type="dxa"/>
            <w:tcBorders>
              <w:bottom w:val="single" w:sz="12" w:space="0" w:color="9CC2E4"/>
            </w:tcBorders>
          </w:tcPr>
          <w:p>
            <w:pPr>
              <w:pStyle w:val="TableParagraph"/>
              <w:spacing w:line="270" w:lineRule="atLeast" w:before="0"/>
              <w:ind w:left="602" w:right="88" w:hanging="132"/>
              <w:jc w:val="left"/>
              <w:rPr>
                <w:sz w:val="22"/>
              </w:rPr>
            </w:pPr>
            <w:r>
              <w:rPr>
                <w:spacing w:val="-2"/>
                <w:sz w:val="22"/>
              </w:rPr>
              <w:t>March </w:t>
            </w:r>
            <w:r>
              <w:rPr>
                <w:spacing w:val="-4"/>
                <w:sz w:val="22"/>
              </w:rPr>
              <w:t>2024</w:t>
            </w:r>
          </w:p>
        </w:tc>
        <w:tc>
          <w:tcPr>
            <w:tcW w:w="1659" w:type="dxa"/>
            <w:tcBorders>
              <w:bottom w:val="single" w:sz="12" w:space="0" w:color="9CC2E4"/>
            </w:tcBorders>
          </w:tcPr>
          <w:p>
            <w:pPr>
              <w:pStyle w:val="TableParagraph"/>
              <w:spacing w:line="270" w:lineRule="atLeast" w:before="0"/>
              <w:ind w:left="254" w:right="91" w:firstLine="144"/>
              <w:jc w:val="left"/>
              <w:rPr>
                <w:sz w:val="22"/>
              </w:rPr>
            </w:pPr>
            <w:r>
              <w:rPr>
                <w:sz w:val="22"/>
              </w:rPr>
              <w:t>Change</w:t>
            </w:r>
            <w:r>
              <w:rPr>
                <w:spacing w:val="-13"/>
                <w:sz w:val="22"/>
              </w:rPr>
              <w:t> </w:t>
            </w:r>
            <w:r>
              <w:rPr>
                <w:sz w:val="22"/>
              </w:rPr>
              <w:t>from </w:t>
            </w:r>
            <w:r>
              <w:rPr>
                <w:spacing w:val="-2"/>
                <w:sz w:val="22"/>
              </w:rPr>
              <w:t>February</w:t>
            </w:r>
            <w:r>
              <w:rPr>
                <w:spacing w:val="1"/>
                <w:sz w:val="22"/>
              </w:rPr>
              <w:t> </w:t>
            </w:r>
            <w:r>
              <w:rPr>
                <w:spacing w:val="-4"/>
                <w:sz w:val="22"/>
              </w:rPr>
              <w:t>2025</w:t>
            </w:r>
          </w:p>
        </w:tc>
        <w:tc>
          <w:tcPr>
            <w:tcW w:w="1441" w:type="dxa"/>
            <w:tcBorders>
              <w:bottom w:val="single" w:sz="12" w:space="0" w:color="9CC2E4"/>
            </w:tcBorders>
          </w:tcPr>
          <w:p>
            <w:pPr>
              <w:pStyle w:val="TableParagraph"/>
              <w:spacing w:line="270" w:lineRule="atLeast" w:before="0"/>
              <w:ind w:left="257" w:right="98" w:hanging="78"/>
              <w:jc w:val="left"/>
              <w:rPr>
                <w:sz w:val="22"/>
              </w:rPr>
            </w:pPr>
            <w:r>
              <w:rPr>
                <w:sz w:val="22"/>
              </w:rPr>
              <w:t>Change</w:t>
            </w:r>
            <w:r>
              <w:rPr>
                <w:spacing w:val="-13"/>
                <w:sz w:val="22"/>
              </w:rPr>
              <w:t> </w:t>
            </w:r>
            <w:r>
              <w:rPr>
                <w:sz w:val="22"/>
              </w:rPr>
              <w:t>from March</w:t>
            </w:r>
            <w:r>
              <w:rPr>
                <w:spacing w:val="-8"/>
                <w:sz w:val="22"/>
              </w:rPr>
              <w:t> </w:t>
            </w:r>
            <w:r>
              <w:rPr>
                <w:spacing w:val="-4"/>
                <w:sz w:val="22"/>
              </w:rPr>
              <w:t>2024</w:t>
            </w:r>
          </w:p>
        </w:tc>
      </w:tr>
      <w:tr>
        <w:trPr>
          <w:trHeight w:val="268" w:hRule="atLeast"/>
        </w:trPr>
        <w:tc>
          <w:tcPr>
            <w:tcW w:w="3595" w:type="dxa"/>
            <w:tcBorders>
              <w:top w:val="single" w:sz="12" w:space="0" w:color="9CC2E4"/>
            </w:tcBorders>
          </w:tcPr>
          <w:p>
            <w:pPr>
              <w:pStyle w:val="TableParagraph"/>
              <w:spacing w:before="0"/>
              <w:ind w:left="107" w:right="0"/>
              <w:jc w:val="left"/>
              <w:rPr>
                <w:sz w:val="22"/>
              </w:rPr>
            </w:pPr>
            <w:r>
              <w:rPr>
                <w:sz w:val="22"/>
              </w:rPr>
              <w:t>Civilian</w:t>
            </w:r>
            <w:r>
              <w:rPr>
                <w:spacing w:val="-8"/>
                <w:sz w:val="22"/>
              </w:rPr>
              <w:t> </w:t>
            </w:r>
            <w:r>
              <w:rPr>
                <w:sz w:val="22"/>
              </w:rPr>
              <w:t>Labor</w:t>
            </w:r>
            <w:r>
              <w:rPr>
                <w:spacing w:val="-7"/>
                <w:sz w:val="22"/>
              </w:rPr>
              <w:t> </w:t>
            </w:r>
            <w:r>
              <w:rPr>
                <w:spacing w:val="-2"/>
                <w:sz w:val="22"/>
              </w:rPr>
              <w:t>Force</w:t>
            </w:r>
          </w:p>
        </w:tc>
        <w:tc>
          <w:tcPr>
            <w:tcW w:w="1260" w:type="dxa"/>
            <w:tcBorders>
              <w:top w:val="single" w:sz="12" w:space="0" w:color="9CC2E4"/>
            </w:tcBorders>
          </w:tcPr>
          <w:p>
            <w:pPr>
              <w:pStyle w:val="TableParagraph"/>
              <w:spacing w:before="0"/>
              <w:ind w:right="94"/>
              <w:rPr>
                <w:sz w:val="22"/>
              </w:rPr>
            </w:pPr>
            <w:r>
              <w:rPr>
                <w:spacing w:val="-2"/>
                <w:sz w:val="22"/>
              </w:rPr>
              <w:t>1,421,038</w:t>
            </w:r>
          </w:p>
        </w:tc>
        <w:tc>
          <w:tcPr>
            <w:tcW w:w="1235" w:type="dxa"/>
            <w:tcBorders>
              <w:top w:val="single" w:sz="12" w:space="0" w:color="9CC2E4"/>
            </w:tcBorders>
          </w:tcPr>
          <w:p>
            <w:pPr>
              <w:pStyle w:val="TableParagraph"/>
              <w:spacing w:before="0"/>
              <w:ind w:right="95"/>
              <w:rPr>
                <w:sz w:val="22"/>
              </w:rPr>
            </w:pPr>
            <w:r>
              <w:rPr>
                <w:spacing w:val="-2"/>
                <w:sz w:val="22"/>
              </w:rPr>
              <w:t>1,420,778</w:t>
            </w:r>
          </w:p>
        </w:tc>
        <w:tc>
          <w:tcPr>
            <w:tcW w:w="1157" w:type="dxa"/>
            <w:tcBorders>
              <w:top w:val="single" w:sz="12" w:space="0" w:color="9CC2E4"/>
            </w:tcBorders>
          </w:tcPr>
          <w:p>
            <w:pPr>
              <w:pStyle w:val="TableParagraph"/>
              <w:spacing w:before="0"/>
              <w:ind w:right="95"/>
              <w:rPr>
                <w:sz w:val="22"/>
              </w:rPr>
            </w:pPr>
            <w:r>
              <w:rPr>
                <w:spacing w:val="-2"/>
                <w:sz w:val="22"/>
              </w:rPr>
              <w:t>1,400,613</w:t>
            </w:r>
          </w:p>
        </w:tc>
        <w:tc>
          <w:tcPr>
            <w:tcW w:w="1659" w:type="dxa"/>
            <w:tcBorders>
              <w:top w:val="single" w:sz="12" w:space="0" w:color="9CC2E4"/>
            </w:tcBorders>
          </w:tcPr>
          <w:p>
            <w:pPr>
              <w:pStyle w:val="TableParagraph"/>
              <w:spacing w:before="0"/>
              <w:ind w:right="97"/>
              <w:rPr>
                <w:sz w:val="22"/>
              </w:rPr>
            </w:pPr>
            <w:r>
              <w:rPr>
                <w:spacing w:val="-5"/>
                <w:sz w:val="22"/>
              </w:rPr>
              <w:t>260</w:t>
            </w:r>
          </w:p>
        </w:tc>
        <w:tc>
          <w:tcPr>
            <w:tcW w:w="1441" w:type="dxa"/>
            <w:tcBorders>
              <w:top w:val="single" w:sz="12" w:space="0" w:color="9CC2E4"/>
            </w:tcBorders>
          </w:tcPr>
          <w:p>
            <w:pPr>
              <w:pStyle w:val="TableParagraph"/>
              <w:spacing w:before="0"/>
              <w:rPr>
                <w:sz w:val="22"/>
              </w:rPr>
            </w:pPr>
            <w:r>
              <w:rPr>
                <w:spacing w:val="-2"/>
                <w:sz w:val="22"/>
              </w:rPr>
              <w:t>20,425</w:t>
            </w:r>
          </w:p>
        </w:tc>
      </w:tr>
      <w:tr>
        <w:trPr>
          <w:trHeight w:val="268" w:hRule="atLeast"/>
        </w:trPr>
        <w:tc>
          <w:tcPr>
            <w:tcW w:w="3595" w:type="dxa"/>
          </w:tcPr>
          <w:p>
            <w:pPr>
              <w:pStyle w:val="TableParagraph"/>
              <w:spacing w:before="0"/>
              <w:ind w:left="405" w:right="0"/>
              <w:jc w:val="left"/>
              <w:rPr>
                <w:sz w:val="22"/>
              </w:rPr>
            </w:pPr>
            <w:r>
              <w:rPr>
                <w:spacing w:val="-2"/>
                <w:sz w:val="22"/>
              </w:rPr>
              <w:t>Employment</w:t>
            </w:r>
          </w:p>
        </w:tc>
        <w:tc>
          <w:tcPr>
            <w:tcW w:w="1260" w:type="dxa"/>
          </w:tcPr>
          <w:p>
            <w:pPr>
              <w:pStyle w:val="TableParagraph"/>
              <w:spacing w:before="0"/>
              <w:ind w:right="94"/>
              <w:rPr>
                <w:sz w:val="22"/>
              </w:rPr>
            </w:pPr>
            <w:r>
              <w:rPr>
                <w:spacing w:val="-2"/>
                <w:sz w:val="22"/>
              </w:rPr>
              <w:t>1,368,961</w:t>
            </w:r>
          </w:p>
        </w:tc>
        <w:tc>
          <w:tcPr>
            <w:tcW w:w="1235" w:type="dxa"/>
          </w:tcPr>
          <w:p>
            <w:pPr>
              <w:pStyle w:val="TableParagraph"/>
              <w:spacing w:before="0"/>
              <w:ind w:right="95"/>
              <w:rPr>
                <w:sz w:val="22"/>
              </w:rPr>
            </w:pPr>
            <w:r>
              <w:rPr>
                <w:spacing w:val="-2"/>
                <w:sz w:val="22"/>
              </w:rPr>
              <w:t>1,369,203</w:t>
            </w:r>
          </w:p>
        </w:tc>
        <w:tc>
          <w:tcPr>
            <w:tcW w:w="1157" w:type="dxa"/>
          </w:tcPr>
          <w:p>
            <w:pPr>
              <w:pStyle w:val="TableParagraph"/>
              <w:spacing w:before="0"/>
              <w:ind w:right="95"/>
              <w:rPr>
                <w:sz w:val="22"/>
              </w:rPr>
            </w:pPr>
            <w:r>
              <w:rPr>
                <w:spacing w:val="-2"/>
                <w:sz w:val="22"/>
              </w:rPr>
              <w:t>1,353,275</w:t>
            </w:r>
          </w:p>
        </w:tc>
        <w:tc>
          <w:tcPr>
            <w:tcW w:w="1659" w:type="dxa"/>
          </w:tcPr>
          <w:p>
            <w:pPr>
              <w:pStyle w:val="TableParagraph"/>
              <w:spacing w:before="0"/>
              <w:ind w:right="97"/>
              <w:rPr>
                <w:sz w:val="22"/>
              </w:rPr>
            </w:pPr>
            <w:r>
              <w:rPr>
                <w:spacing w:val="-2"/>
                <w:sz w:val="22"/>
              </w:rPr>
              <w:t>-</w:t>
            </w:r>
            <w:r>
              <w:rPr>
                <w:spacing w:val="-5"/>
                <w:sz w:val="22"/>
              </w:rPr>
              <w:t>242</w:t>
            </w:r>
          </w:p>
        </w:tc>
        <w:tc>
          <w:tcPr>
            <w:tcW w:w="1441" w:type="dxa"/>
          </w:tcPr>
          <w:p>
            <w:pPr>
              <w:pStyle w:val="TableParagraph"/>
              <w:spacing w:before="0"/>
              <w:rPr>
                <w:sz w:val="22"/>
              </w:rPr>
            </w:pPr>
            <w:r>
              <w:rPr>
                <w:spacing w:val="-2"/>
                <w:sz w:val="22"/>
              </w:rPr>
              <w:t>15,686</w:t>
            </w:r>
          </w:p>
        </w:tc>
      </w:tr>
      <w:tr>
        <w:trPr>
          <w:trHeight w:val="268" w:hRule="atLeast"/>
        </w:trPr>
        <w:tc>
          <w:tcPr>
            <w:tcW w:w="3595" w:type="dxa"/>
          </w:tcPr>
          <w:p>
            <w:pPr>
              <w:pStyle w:val="TableParagraph"/>
              <w:spacing w:before="0"/>
              <w:ind w:left="405" w:right="0"/>
              <w:jc w:val="left"/>
              <w:rPr>
                <w:sz w:val="22"/>
              </w:rPr>
            </w:pPr>
            <w:r>
              <w:rPr>
                <w:spacing w:val="-2"/>
                <w:sz w:val="22"/>
              </w:rPr>
              <w:t>Unemployment</w:t>
            </w:r>
          </w:p>
        </w:tc>
        <w:tc>
          <w:tcPr>
            <w:tcW w:w="1260" w:type="dxa"/>
          </w:tcPr>
          <w:p>
            <w:pPr>
              <w:pStyle w:val="TableParagraph"/>
              <w:spacing w:before="0"/>
              <w:rPr>
                <w:sz w:val="22"/>
              </w:rPr>
            </w:pPr>
            <w:r>
              <w:rPr>
                <w:spacing w:val="-2"/>
                <w:sz w:val="22"/>
              </w:rPr>
              <w:t>52,077</w:t>
            </w:r>
          </w:p>
        </w:tc>
        <w:tc>
          <w:tcPr>
            <w:tcW w:w="1235" w:type="dxa"/>
          </w:tcPr>
          <w:p>
            <w:pPr>
              <w:pStyle w:val="TableParagraph"/>
              <w:spacing w:before="0"/>
              <w:rPr>
                <w:sz w:val="22"/>
              </w:rPr>
            </w:pPr>
            <w:r>
              <w:rPr>
                <w:spacing w:val="-2"/>
                <w:sz w:val="22"/>
              </w:rPr>
              <w:t>51,575</w:t>
            </w:r>
          </w:p>
        </w:tc>
        <w:tc>
          <w:tcPr>
            <w:tcW w:w="1157" w:type="dxa"/>
          </w:tcPr>
          <w:p>
            <w:pPr>
              <w:pStyle w:val="TableParagraph"/>
              <w:spacing w:before="0"/>
              <w:ind w:right="95"/>
              <w:rPr>
                <w:sz w:val="22"/>
              </w:rPr>
            </w:pPr>
            <w:r>
              <w:rPr>
                <w:spacing w:val="-2"/>
                <w:sz w:val="22"/>
              </w:rPr>
              <w:t>47,338</w:t>
            </w:r>
          </w:p>
        </w:tc>
        <w:tc>
          <w:tcPr>
            <w:tcW w:w="1659" w:type="dxa"/>
          </w:tcPr>
          <w:p>
            <w:pPr>
              <w:pStyle w:val="TableParagraph"/>
              <w:spacing w:before="0"/>
              <w:ind w:right="97"/>
              <w:rPr>
                <w:sz w:val="22"/>
              </w:rPr>
            </w:pPr>
            <w:r>
              <w:rPr>
                <w:spacing w:val="-5"/>
                <w:sz w:val="22"/>
              </w:rPr>
              <w:t>502</w:t>
            </w:r>
          </w:p>
        </w:tc>
        <w:tc>
          <w:tcPr>
            <w:tcW w:w="1441" w:type="dxa"/>
          </w:tcPr>
          <w:p>
            <w:pPr>
              <w:pStyle w:val="TableParagraph"/>
              <w:spacing w:before="0"/>
              <w:rPr>
                <w:sz w:val="22"/>
              </w:rPr>
            </w:pPr>
            <w:r>
              <w:rPr>
                <w:spacing w:val="-2"/>
                <w:sz w:val="22"/>
              </w:rPr>
              <w:t>4,739</w:t>
            </w:r>
          </w:p>
        </w:tc>
      </w:tr>
      <w:tr>
        <w:trPr>
          <w:trHeight w:val="268" w:hRule="atLeast"/>
        </w:trPr>
        <w:tc>
          <w:tcPr>
            <w:tcW w:w="3595" w:type="dxa"/>
          </w:tcPr>
          <w:p>
            <w:pPr>
              <w:pStyle w:val="TableParagraph"/>
              <w:spacing w:before="0"/>
              <w:ind w:left="604" w:right="0"/>
              <w:jc w:val="left"/>
              <w:rPr>
                <w:sz w:val="22"/>
              </w:rPr>
            </w:pPr>
            <w:r>
              <w:rPr>
                <w:spacing w:val="-2"/>
                <w:sz w:val="22"/>
              </w:rPr>
              <w:t>Unemployment</w:t>
            </w:r>
            <w:r>
              <w:rPr>
                <w:spacing w:val="5"/>
                <w:sz w:val="22"/>
              </w:rPr>
              <w:t> </w:t>
            </w:r>
            <w:r>
              <w:rPr>
                <w:spacing w:val="-4"/>
                <w:sz w:val="22"/>
              </w:rPr>
              <w:t>Rate</w:t>
            </w:r>
          </w:p>
        </w:tc>
        <w:tc>
          <w:tcPr>
            <w:tcW w:w="1260" w:type="dxa"/>
          </w:tcPr>
          <w:p>
            <w:pPr>
              <w:pStyle w:val="TableParagraph"/>
              <w:spacing w:before="0"/>
              <w:ind w:right="97"/>
              <w:rPr>
                <w:sz w:val="22"/>
              </w:rPr>
            </w:pPr>
            <w:r>
              <w:rPr>
                <w:spacing w:val="-4"/>
                <w:sz w:val="22"/>
              </w:rPr>
              <w:t>3.7%</w:t>
            </w:r>
          </w:p>
        </w:tc>
        <w:tc>
          <w:tcPr>
            <w:tcW w:w="1235" w:type="dxa"/>
          </w:tcPr>
          <w:p>
            <w:pPr>
              <w:pStyle w:val="TableParagraph"/>
              <w:spacing w:before="0"/>
              <w:ind w:right="97"/>
              <w:rPr>
                <w:sz w:val="22"/>
              </w:rPr>
            </w:pPr>
            <w:r>
              <w:rPr>
                <w:spacing w:val="-4"/>
                <w:sz w:val="22"/>
              </w:rPr>
              <w:t>3.6%</w:t>
            </w:r>
          </w:p>
        </w:tc>
        <w:tc>
          <w:tcPr>
            <w:tcW w:w="1157" w:type="dxa"/>
          </w:tcPr>
          <w:p>
            <w:pPr>
              <w:pStyle w:val="TableParagraph"/>
              <w:spacing w:before="0"/>
              <w:ind w:right="97"/>
              <w:rPr>
                <w:sz w:val="22"/>
              </w:rPr>
            </w:pPr>
            <w:r>
              <w:rPr>
                <w:spacing w:val="-4"/>
                <w:sz w:val="22"/>
              </w:rPr>
              <w:t>3.4%</w:t>
            </w:r>
          </w:p>
        </w:tc>
        <w:tc>
          <w:tcPr>
            <w:tcW w:w="1659" w:type="dxa"/>
          </w:tcPr>
          <w:p>
            <w:pPr>
              <w:pStyle w:val="TableParagraph"/>
              <w:spacing w:before="0"/>
              <w:ind w:right="147"/>
              <w:rPr>
                <w:sz w:val="22"/>
              </w:rPr>
            </w:pPr>
            <w:r>
              <w:rPr>
                <w:spacing w:val="-4"/>
                <w:sz w:val="22"/>
              </w:rPr>
              <w:t>0.1%</w:t>
            </w:r>
          </w:p>
        </w:tc>
        <w:tc>
          <w:tcPr>
            <w:tcW w:w="1441" w:type="dxa"/>
          </w:tcPr>
          <w:p>
            <w:pPr>
              <w:pStyle w:val="TableParagraph"/>
              <w:spacing w:before="0"/>
              <w:ind w:right="98"/>
              <w:rPr>
                <w:sz w:val="22"/>
              </w:rPr>
            </w:pPr>
            <w:r>
              <w:rPr>
                <w:spacing w:val="-4"/>
                <w:sz w:val="22"/>
              </w:rPr>
              <w:t>0.3%</w:t>
            </w:r>
          </w:p>
        </w:tc>
      </w:tr>
      <w:tr>
        <w:trPr>
          <w:trHeight w:val="269" w:hRule="atLeast"/>
        </w:trPr>
        <w:tc>
          <w:tcPr>
            <w:tcW w:w="3595" w:type="dxa"/>
          </w:tcPr>
          <w:p>
            <w:pPr>
              <w:pStyle w:val="TableParagraph"/>
              <w:spacing w:line="249" w:lineRule="exact" w:before="0"/>
              <w:ind w:left="604" w:right="0"/>
              <w:jc w:val="left"/>
              <w:rPr>
                <w:sz w:val="22"/>
              </w:rPr>
            </w:pPr>
            <w:r>
              <w:rPr>
                <w:sz w:val="22"/>
              </w:rPr>
              <w:t>Labor</w:t>
            </w:r>
            <w:r>
              <w:rPr>
                <w:spacing w:val="-9"/>
                <w:sz w:val="22"/>
              </w:rPr>
              <w:t> </w:t>
            </w:r>
            <w:r>
              <w:rPr>
                <w:sz w:val="22"/>
              </w:rPr>
              <w:t>Force</w:t>
            </w:r>
            <w:r>
              <w:rPr>
                <w:spacing w:val="-9"/>
                <w:sz w:val="22"/>
              </w:rPr>
              <w:t> </w:t>
            </w:r>
            <w:r>
              <w:rPr>
                <w:sz w:val="22"/>
              </w:rPr>
              <w:t>Participation</w:t>
            </w:r>
            <w:r>
              <w:rPr>
                <w:spacing w:val="-9"/>
                <w:sz w:val="22"/>
              </w:rPr>
              <w:t> </w:t>
            </w:r>
            <w:r>
              <w:rPr>
                <w:spacing w:val="-4"/>
                <w:sz w:val="22"/>
              </w:rPr>
              <w:t>Rate</w:t>
            </w:r>
          </w:p>
        </w:tc>
        <w:tc>
          <w:tcPr>
            <w:tcW w:w="1260" w:type="dxa"/>
          </w:tcPr>
          <w:p>
            <w:pPr>
              <w:pStyle w:val="TableParagraph"/>
              <w:spacing w:line="249" w:lineRule="exact" w:before="0"/>
              <w:ind w:right="97"/>
              <w:rPr>
                <w:sz w:val="22"/>
              </w:rPr>
            </w:pPr>
            <w:r>
              <w:rPr>
                <w:spacing w:val="-2"/>
                <w:sz w:val="22"/>
              </w:rPr>
              <w:t>58.4%</w:t>
            </w:r>
          </w:p>
        </w:tc>
        <w:tc>
          <w:tcPr>
            <w:tcW w:w="1235" w:type="dxa"/>
          </w:tcPr>
          <w:p>
            <w:pPr>
              <w:pStyle w:val="TableParagraph"/>
              <w:spacing w:line="249" w:lineRule="exact" w:before="0"/>
              <w:ind w:right="97"/>
              <w:rPr>
                <w:sz w:val="22"/>
              </w:rPr>
            </w:pPr>
            <w:r>
              <w:rPr>
                <w:spacing w:val="-2"/>
                <w:sz w:val="22"/>
              </w:rPr>
              <w:t>58.4%</w:t>
            </w:r>
          </w:p>
        </w:tc>
        <w:tc>
          <w:tcPr>
            <w:tcW w:w="1157" w:type="dxa"/>
          </w:tcPr>
          <w:p>
            <w:pPr>
              <w:pStyle w:val="TableParagraph"/>
              <w:spacing w:line="249" w:lineRule="exact" w:before="0"/>
              <w:ind w:right="97"/>
              <w:rPr>
                <w:sz w:val="22"/>
              </w:rPr>
            </w:pPr>
            <w:r>
              <w:rPr>
                <w:spacing w:val="-2"/>
                <w:sz w:val="22"/>
              </w:rPr>
              <w:t>58.0%</w:t>
            </w:r>
          </w:p>
        </w:tc>
        <w:tc>
          <w:tcPr>
            <w:tcW w:w="1659" w:type="dxa"/>
          </w:tcPr>
          <w:p>
            <w:pPr>
              <w:pStyle w:val="TableParagraph"/>
              <w:spacing w:line="249" w:lineRule="exact" w:before="0"/>
              <w:ind w:right="147"/>
              <w:rPr>
                <w:sz w:val="22"/>
              </w:rPr>
            </w:pPr>
            <w:r>
              <w:rPr>
                <w:spacing w:val="-4"/>
                <w:sz w:val="22"/>
              </w:rPr>
              <w:t>0.0%</w:t>
            </w:r>
          </w:p>
        </w:tc>
        <w:tc>
          <w:tcPr>
            <w:tcW w:w="1441" w:type="dxa"/>
          </w:tcPr>
          <w:p>
            <w:pPr>
              <w:pStyle w:val="TableParagraph"/>
              <w:spacing w:line="249" w:lineRule="exact" w:before="0"/>
              <w:ind w:right="98"/>
              <w:rPr>
                <w:sz w:val="22"/>
              </w:rPr>
            </w:pPr>
            <w:r>
              <w:rPr>
                <w:spacing w:val="-4"/>
                <w:sz w:val="22"/>
              </w:rPr>
              <w:t>0.4%</w:t>
            </w:r>
          </w:p>
        </w:tc>
      </w:tr>
    </w:tbl>
    <w:p>
      <w:pPr>
        <w:spacing w:before="107"/>
        <w:ind w:left="90" w:right="90" w:firstLine="0"/>
        <w:jc w:val="center"/>
        <w:rPr>
          <w:sz w:val="16"/>
        </w:rPr>
      </w:pPr>
      <w:r>
        <w:rPr>
          <w:sz w:val="16"/>
        </w:rPr>
        <w:t>Source:</w:t>
      </w:r>
      <w:r>
        <w:rPr>
          <w:spacing w:val="-6"/>
          <w:sz w:val="16"/>
        </w:rPr>
        <w:t> </w:t>
      </w:r>
      <w:r>
        <w:rPr>
          <w:sz w:val="16"/>
        </w:rPr>
        <w:t>U.S.</w:t>
      </w:r>
      <w:r>
        <w:rPr>
          <w:spacing w:val="-5"/>
          <w:sz w:val="16"/>
        </w:rPr>
        <w:t> </w:t>
      </w:r>
      <w:r>
        <w:rPr>
          <w:sz w:val="16"/>
        </w:rPr>
        <w:t>Bureau</w:t>
      </w:r>
      <w:r>
        <w:rPr>
          <w:spacing w:val="-6"/>
          <w:sz w:val="16"/>
        </w:rPr>
        <w:t> </w:t>
      </w:r>
      <w:r>
        <w:rPr>
          <w:sz w:val="16"/>
        </w:rPr>
        <w:t>of</w:t>
      </w:r>
      <w:r>
        <w:rPr>
          <w:spacing w:val="-5"/>
          <w:sz w:val="16"/>
        </w:rPr>
        <w:t> </w:t>
      </w:r>
      <w:r>
        <w:rPr>
          <w:sz w:val="16"/>
        </w:rPr>
        <w:t>Labor</w:t>
      </w:r>
      <w:r>
        <w:rPr>
          <w:spacing w:val="-7"/>
          <w:sz w:val="16"/>
        </w:rPr>
        <w:t> </w:t>
      </w:r>
      <w:r>
        <w:rPr>
          <w:sz w:val="16"/>
        </w:rPr>
        <w:t>Statistics,</w:t>
      </w:r>
      <w:r>
        <w:rPr>
          <w:spacing w:val="-6"/>
          <w:sz w:val="16"/>
        </w:rPr>
        <w:t> </w:t>
      </w:r>
      <w:r>
        <w:rPr>
          <w:sz w:val="16"/>
        </w:rPr>
        <w:t>Current</w:t>
      </w:r>
      <w:r>
        <w:rPr>
          <w:spacing w:val="-5"/>
          <w:sz w:val="16"/>
        </w:rPr>
        <w:t> </w:t>
      </w:r>
      <w:r>
        <w:rPr>
          <w:sz w:val="16"/>
        </w:rPr>
        <w:t>Population</w:t>
      </w:r>
      <w:r>
        <w:rPr>
          <w:spacing w:val="-6"/>
          <w:sz w:val="16"/>
        </w:rPr>
        <w:t> </w:t>
      </w:r>
      <w:r>
        <w:rPr>
          <w:sz w:val="16"/>
        </w:rPr>
        <w:t>Survey.</w:t>
      </w:r>
      <w:r>
        <w:rPr>
          <w:spacing w:val="25"/>
          <w:sz w:val="16"/>
        </w:rPr>
        <w:t> </w:t>
      </w:r>
      <w:r>
        <w:rPr>
          <w:sz w:val="16"/>
        </w:rPr>
        <w:t>More</w:t>
      </w:r>
      <w:r>
        <w:rPr>
          <w:spacing w:val="-6"/>
          <w:sz w:val="16"/>
        </w:rPr>
        <w:t> </w:t>
      </w:r>
      <w:r>
        <w:rPr>
          <w:sz w:val="16"/>
        </w:rPr>
        <w:t>information</w:t>
      </w:r>
      <w:r>
        <w:rPr>
          <w:spacing w:val="-6"/>
          <w:sz w:val="16"/>
        </w:rPr>
        <w:t> </w:t>
      </w:r>
      <w:r>
        <w:rPr>
          <w:sz w:val="16"/>
        </w:rPr>
        <w:t>about</w:t>
      </w:r>
      <w:r>
        <w:rPr>
          <w:spacing w:val="-5"/>
          <w:sz w:val="16"/>
        </w:rPr>
        <w:t> </w:t>
      </w:r>
      <w:r>
        <w:rPr>
          <w:sz w:val="16"/>
        </w:rPr>
        <w:t>the</w:t>
      </w:r>
      <w:r>
        <w:rPr>
          <w:spacing w:val="-6"/>
          <w:sz w:val="16"/>
        </w:rPr>
        <w:t> </w:t>
      </w:r>
      <w:r>
        <w:rPr>
          <w:sz w:val="16"/>
        </w:rPr>
        <w:t>data</w:t>
      </w:r>
      <w:r>
        <w:rPr>
          <w:spacing w:val="-6"/>
          <w:sz w:val="16"/>
        </w:rPr>
        <w:t> </w:t>
      </w:r>
      <w:r>
        <w:rPr>
          <w:sz w:val="16"/>
        </w:rPr>
        <w:t>is</w:t>
      </w:r>
      <w:r>
        <w:rPr>
          <w:spacing w:val="-6"/>
          <w:sz w:val="16"/>
        </w:rPr>
        <w:t> </w:t>
      </w:r>
      <w:r>
        <w:rPr>
          <w:sz w:val="16"/>
        </w:rPr>
        <w:t>available</w:t>
      </w:r>
      <w:r>
        <w:rPr>
          <w:spacing w:val="-6"/>
          <w:sz w:val="16"/>
        </w:rPr>
        <w:t> </w:t>
      </w:r>
      <w:r>
        <w:rPr>
          <w:sz w:val="16"/>
        </w:rPr>
        <w:t>at</w:t>
      </w:r>
      <w:r>
        <w:rPr>
          <w:spacing w:val="-6"/>
          <w:sz w:val="16"/>
        </w:rPr>
        <w:t> </w:t>
      </w:r>
      <w:hyperlink r:id="rId7">
        <w:r>
          <w:rPr>
            <w:color w:val="0562C1"/>
            <w:spacing w:val="-2"/>
            <w:sz w:val="16"/>
            <w:u w:val="single" w:color="0562C1"/>
          </w:rPr>
          <w:t>https://www.bls.gov/cps/definitions.htm</w:t>
        </w:r>
      </w:hyperlink>
    </w:p>
    <w:p>
      <w:pPr>
        <w:spacing w:after="0"/>
        <w:jc w:val="center"/>
        <w:rPr>
          <w:sz w:val="16"/>
        </w:rPr>
        <w:sectPr>
          <w:type w:val="continuous"/>
          <w:pgSz w:w="12240" w:h="15840"/>
          <w:pgMar w:top="720" w:bottom="280" w:left="600" w:right="600"/>
        </w:sectPr>
      </w:pPr>
    </w:p>
    <w:p>
      <w:pPr>
        <w:pStyle w:val="Heading1"/>
        <w:spacing w:before="39"/>
      </w:pPr>
      <w:r>
        <w:rPr/>
        <w:t>Arkansas</w:t>
      </w:r>
      <w:r>
        <w:rPr>
          <w:spacing w:val="-5"/>
        </w:rPr>
        <w:t> </w:t>
      </w:r>
      <w:r>
        <w:rPr/>
        <w:t>Nonfarm</w:t>
      </w:r>
      <w:r>
        <w:rPr>
          <w:spacing w:val="-3"/>
        </w:rPr>
        <w:t> </w:t>
      </w:r>
      <w:r>
        <w:rPr/>
        <w:t>Payroll</w:t>
      </w:r>
      <w:r>
        <w:rPr>
          <w:spacing w:val="-4"/>
        </w:rPr>
        <w:t> </w:t>
      </w:r>
      <w:r>
        <w:rPr/>
        <w:t>Jobs</w:t>
      </w:r>
      <w:r>
        <w:rPr>
          <w:spacing w:val="-2"/>
        </w:rPr>
        <w:t> </w:t>
      </w:r>
      <w:r>
        <w:rPr/>
        <w:t>(Not</w:t>
      </w:r>
      <w:r>
        <w:rPr>
          <w:spacing w:val="-4"/>
        </w:rPr>
        <w:t> </w:t>
      </w:r>
      <w:r>
        <w:rPr/>
        <w:t>Seasonally</w:t>
      </w:r>
      <w:r>
        <w:rPr>
          <w:spacing w:val="-3"/>
        </w:rPr>
        <w:t> </w:t>
      </w:r>
      <w:r>
        <w:rPr/>
        <w:t>Adjusted,</w:t>
      </w:r>
      <w:r>
        <w:rPr>
          <w:spacing w:val="-2"/>
        </w:rPr>
        <w:t> </w:t>
      </w:r>
      <w:r>
        <w:rPr/>
        <w:t>In</w:t>
      </w:r>
      <w:r>
        <w:rPr>
          <w:spacing w:val="-3"/>
        </w:rPr>
        <w:t> </w:t>
      </w:r>
      <w:r>
        <w:rPr>
          <w:spacing w:val="-2"/>
        </w:rPr>
        <w:t>Thousands)</w:t>
      </w:r>
    </w:p>
    <w:tbl>
      <w:tblPr>
        <w:tblW w:w="0" w:type="auto"/>
        <w:jc w:val="left"/>
        <w:tblInd w:w="129" w:type="dxa"/>
        <w:tblBorders>
          <w:top w:val="single" w:sz="4" w:space="0" w:color="BCD5ED"/>
          <w:left w:val="single" w:sz="4" w:space="0" w:color="BCD5ED"/>
          <w:bottom w:val="single" w:sz="4" w:space="0" w:color="BCD5ED"/>
          <w:right w:val="single" w:sz="4" w:space="0" w:color="BCD5ED"/>
          <w:insideH w:val="single" w:sz="4" w:space="0" w:color="BCD5ED"/>
          <w:insideV w:val="single" w:sz="4" w:space="0" w:color="BCD5ED"/>
        </w:tblBorders>
        <w:tblLayout w:type="fixed"/>
        <w:tblCellMar>
          <w:top w:w="0" w:type="dxa"/>
          <w:left w:w="0" w:type="dxa"/>
          <w:bottom w:w="0" w:type="dxa"/>
          <w:right w:w="0" w:type="dxa"/>
        </w:tblCellMar>
        <w:tblLook w:val="01E0"/>
      </w:tblPr>
      <w:tblGrid>
        <w:gridCol w:w="5035"/>
        <w:gridCol w:w="1170"/>
        <w:gridCol w:w="1080"/>
        <w:gridCol w:w="1075"/>
        <w:gridCol w:w="1160"/>
        <w:gridCol w:w="1159"/>
      </w:tblGrid>
      <w:tr>
        <w:trPr>
          <w:trHeight w:val="1075" w:hRule="atLeast"/>
        </w:trPr>
        <w:tc>
          <w:tcPr>
            <w:tcW w:w="5035" w:type="dxa"/>
            <w:tcBorders>
              <w:bottom w:val="single" w:sz="12" w:space="0" w:color="9CC2E4"/>
            </w:tcBorders>
          </w:tcPr>
          <w:p>
            <w:pPr>
              <w:pStyle w:val="TableParagraph"/>
              <w:spacing w:line="240" w:lineRule="auto" w:before="0"/>
              <w:ind w:right="0"/>
              <w:jc w:val="left"/>
              <w:rPr>
                <w:b/>
                <w:sz w:val="20"/>
              </w:rPr>
            </w:pPr>
          </w:p>
          <w:p>
            <w:pPr>
              <w:pStyle w:val="TableParagraph"/>
              <w:spacing w:line="240" w:lineRule="auto" w:before="48"/>
              <w:ind w:right="0"/>
              <w:jc w:val="left"/>
              <w:rPr>
                <w:b/>
                <w:sz w:val="20"/>
              </w:rPr>
            </w:pPr>
          </w:p>
          <w:p>
            <w:pPr>
              <w:pStyle w:val="TableParagraph"/>
              <w:spacing w:line="240" w:lineRule="auto" w:before="0"/>
              <w:ind w:left="1340" w:right="0" w:hanging="1089"/>
              <w:jc w:val="left"/>
              <w:rPr>
                <w:sz w:val="20"/>
              </w:rPr>
            </w:pPr>
            <w:r>
              <w:rPr>
                <w:sz w:val="20"/>
              </w:rPr>
              <w:t>Industry</w:t>
            </w:r>
            <w:r>
              <w:rPr>
                <w:spacing w:val="-6"/>
                <w:sz w:val="20"/>
              </w:rPr>
              <w:t> </w:t>
            </w:r>
            <w:r>
              <w:rPr>
                <w:sz w:val="20"/>
              </w:rPr>
              <w:t>Sector</w:t>
            </w:r>
            <w:r>
              <w:rPr>
                <w:spacing w:val="-5"/>
                <w:sz w:val="20"/>
              </w:rPr>
              <w:t> </w:t>
            </w:r>
            <w:r>
              <w:rPr>
                <w:sz w:val="20"/>
              </w:rPr>
              <w:t>based</w:t>
            </w:r>
            <w:r>
              <w:rPr>
                <w:spacing w:val="-6"/>
                <w:sz w:val="20"/>
              </w:rPr>
              <w:t> </w:t>
            </w:r>
            <w:r>
              <w:rPr>
                <w:sz w:val="20"/>
              </w:rPr>
              <w:t>on</w:t>
            </w:r>
            <w:r>
              <w:rPr>
                <w:spacing w:val="-6"/>
                <w:sz w:val="20"/>
              </w:rPr>
              <w:t> </w:t>
            </w:r>
            <w:r>
              <w:rPr>
                <w:sz w:val="20"/>
              </w:rPr>
              <w:t>2022</w:t>
            </w:r>
            <w:r>
              <w:rPr>
                <w:spacing w:val="-5"/>
                <w:sz w:val="20"/>
              </w:rPr>
              <w:t> </w:t>
            </w:r>
            <w:r>
              <w:rPr>
                <w:sz w:val="20"/>
              </w:rPr>
              <w:t>North</w:t>
            </w:r>
            <w:r>
              <w:rPr>
                <w:spacing w:val="-6"/>
                <w:sz w:val="20"/>
              </w:rPr>
              <w:t> </w:t>
            </w:r>
            <w:r>
              <w:rPr>
                <w:sz w:val="20"/>
              </w:rPr>
              <w:t>American</w:t>
            </w:r>
            <w:r>
              <w:rPr>
                <w:spacing w:val="-5"/>
                <w:sz w:val="20"/>
              </w:rPr>
              <w:t> </w:t>
            </w:r>
            <w:r>
              <w:rPr>
                <w:sz w:val="20"/>
              </w:rPr>
              <w:t>Industry Classification System (NAICS)</w:t>
            </w:r>
          </w:p>
        </w:tc>
        <w:tc>
          <w:tcPr>
            <w:tcW w:w="1170" w:type="dxa"/>
            <w:tcBorders>
              <w:bottom w:val="single" w:sz="12" w:space="0" w:color="9CC2E4"/>
            </w:tcBorders>
          </w:tcPr>
          <w:p>
            <w:pPr>
              <w:pStyle w:val="TableParagraph"/>
              <w:spacing w:line="240" w:lineRule="auto" w:before="246"/>
              <w:ind w:right="0"/>
              <w:jc w:val="left"/>
              <w:rPr>
                <w:b/>
                <w:sz w:val="22"/>
              </w:rPr>
            </w:pPr>
          </w:p>
          <w:p>
            <w:pPr>
              <w:pStyle w:val="TableParagraph"/>
              <w:spacing w:line="270" w:lineRule="atLeast" w:before="0"/>
              <w:ind w:left="615" w:right="88" w:hanging="132"/>
              <w:jc w:val="left"/>
              <w:rPr>
                <w:sz w:val="22"/>
              </w:rPr>
            </w:pPr>
            <w:r>
              <w:rPr>
                <w:spacing w:val="-2"/>
                <w:sz w:val="22"/>
              </w:rPr>
              <w:t>March </w:t>
            </w:r>
            <w:r>
              <w:rPr>
                <w:spacing w:val="-4"/>
                <w:sz w:val="22"/>
              </w:rPr>
              <w:t>2025</w:t>
            </w:r>
          </w:p>
        </w:tc>
        <w:tc>
          <w:tcPr>
            <w:tcW w:w="1080" w:type="dxa"/>
            <w:tcBorders>
              <w:bottom w:val="single" w:sz="12" w:space="0" w:color="9CC2E4"/>
            </w:tcBorders>
          </w:tcPr>
          <w:p>
            <w:pPr>
              <w:pStyle w:val="TableParagraph"/>
              <w:spacing w:line="240" w:lineRule="auto" w:before="0"/>
              <w:ind w:right="0"/>
              <w:jc w:val="left"/>
              <w:rPr>
                <w:b/>
                <w:sz w:val="22"/>
              </w:rPr>
            </w:pPr>
          </w:p>
          <w:p>
            <w:pPr>
              <w:pStyle w:val="TableParagraph"/>
              <w:spacing w:line="240" w:lineRule="auto" w:before="0"/>
              <w:ind w:right="0"/>
              <w:jc w:val="left"/>
              <w:rPr>
                <w:b/>
                <w:sz w:val="22"/>
              </w:rPr>
            </w:pPr>
          </w:p>
          <w:p>
            <w:pPr>
              <w:pStyle w:val="TableParagraph"/>
              <w:spacing w:line="240" w:lineRule="auto" w:before="1"/>
              <w:rPr>
                <w:sz w:val="22"/>
              </w:rPr>
            </w:pPr>
            <w:r>
              <w:rPr>
                <w:spacing w:val="-2"/>
                <w:sz w:val="22"/>
              </w:rPr>
              <w:t>February</w:t>
            </w:r>
          </w:p>
          <w:p>
            <w:pPr>
              <w:pStyle w:val="TableParagraph"/>
              <w:spacing w:before="0"/>
              <w:rPr>
                <w:sz w:val="22"/>
              </w:rPr>
            </w:pPr>
            <w:r>
              <w:rPr>
                <w:spacing w:val="-4"/>
                <w:sz w:val="22"/>
              </w:rPr>
              <w:t>2025</w:t>
            </w:r>
          </w:p>
        </w:tc>
        <w:tc>
          <w:tcPr>
            <w:tcW w:w="1075" w:type="dxa"/>
            <w:tcBorders>
              <w:bottom w:val="single" w:sz="12" w:space="0" w:color="9CC2E4"/>
            </w:tcBorders>
          </w:tcPr>
          <w:p>
            <w:pPr>
              <w:pStyle w:val="TableParagraph"/>
              <w:spacing w:line="240" w:lineRule="auto" w:before="246"/>
              <w:ind w:right="0"/>
              <w:jc w:val="left"/>
              <w:rPr>
                <w:b/>
                <w:sz w:val="22"/>
              </w:rPr>
            </w:pPr>
          </w:p>
          <w:p>
            <w:pPr>
              <w:pStyle w:val="TableParagraph"/>
              <w:spacing w:line="270" w:lineRule="atLeast" w:before="0"/>
              <w:ind w:left="520" w:right="88" w:hanging="132"/>
              <w:jc w:val="left"/>
              <w:rPr>
                <w:sz w:val="22"/>
              </w:rPr>
            </w:pPr>
            <w:r>
              <w:rPr>
                <w:spacing w:val="-2"/>
                <w:sz w:val="22"/>
              </w:rPr>
              <w:t>March </w:t>
            </w:r>
            <w:r>
              <w:rPr>
                <w:spacing w:val="-4"/>
                <w:sz w:val="22"/>
              </w:rPr>
              <w:t>2024</w:t>
            </w:r>
          </w:p>
        </w:tc>
        <w:tc>
          <w:tcPr>
            <w:tcW w:w="1160" w:type="dxa"/>
            <w:tcBorders>
              <w:bottom w:val="single" w:sz="12" w:space="0" w:color="9CC2E4"/>
            </w:tcBorders>
          </w:tcPr>
          <w:p>
            <w:pPr>
              <w:pStyle w:val="TableParagraph"/>
              <w:spacing w:line="240" w:lineRule="auto" w:before="0"/>
              <w:ind w:right="95"/>
              <w:rPr>
                <w:sz w:val="22"/>
              </w:rPr>
            </w:pPr>
            <w:r>
              <w:rPr>
                <w:spacing w:val="-2"/>
                <w:sz w:val="22"/>
              </w:rPr>
              <w:t>Change</w:t>
            </w:r>
          </w:p>
          <w:p>
            <w:pPr>
              <w:pStyle w:val="TableParagraph"/>
              <w:spacing w:line="240" w:lineRule="auto" w:before="0"/>
              <w:ind w:left="253" w:right="95" w:firstLine="363"/>
              <w:rPr>
                <w:sz w:val="22"/>
              </w:rPr>
            </w:pPr>
            <w:r>
              <w:rPr>
                <w:spacing w:val="-4"/>
                <w:sz w:val="22"/>
              </w:rPr>
              <w:t>from </w:t>
            </w:r>
            <w:r>
              <w:rPr>
                <w:spacing w:val="-2"/>
                <w:sz w:val="22"/>
              </w:rPr>
              <w:t>February</w:t>
            </w:r>
          </w:p>
          <w:p>
            <w:pPr>
              <w:pStyle w:val="TableParagraph"/>
              <w:spacing w:before="1"/>
              <w:ind w:right="95"/>
              <w:rPr>
                <w:sz w:val="22"/>
              </w:rPr>
            </w:pPr>
            <w:r>
              <w:rPr>
                <w:spacing w:val="-4"/>
                <w:sz w:val="22"/>
              </w:rPr>
              <w:t>2025</w:t>
            </w:r>
          </w:p>
        </w:tc>
        <w:tc>
          <w:tcPr>
            <w:tcW w:w="1159" w:type="dxa"/>
            <w:tcBorders>
              <w:bottom w:val="single" w:sz="12" w:space="0" w:color="9CC2E4"/>
            </w:tcBorders>
          </w:tcPr>
          <w:p>
            <w:pPr>
              <w:pStyle w:val="TableParagraph"/>
              <w:spacing w:line="240" w:lineRule="auto" w:before="0"/>
              <w:ind w:left="385" w:right="0"/>
              <w:jc w:val="left"/>
              <w:rPr>
                <w:sz w:val="22"/>
              </w:rPr>
            </w:pPr>
            <w:r>
              <w:rPr>
                <w:spacing w:val="-2"/>
                <w:sz w:val="22"/>
              </w:rPr>
              <w:t>Change</w:t>
            </w:r>
          </w:p>
          <w:p>
            <w:pPr>
              <w:pStyle w:val="TableParagraph"/>
              <w:spacing w:line="270" w:lineRule="atLeast" w:before="0"/>
              <w:ind w:left="473" w:right="95" w:firstLine="142"/>
              <w:jc w:val="both"/>
              <w:rPr>
                <w:sz w:val="22"/>
              </w:rPr>
            </w:pPr>
            <w:r>
              <w:rPr>
                <w:spacing w:val="-4"/>
                <w:sz w:val="22"/>
              </w:rPr>
              <w:t>from </w:t>
            </w:r>
            <w:r>
              <w:rPr>
                <w:spacing w:val="-2"/>
                <w:sz w:val="22"/>
              </w:rPr>
              <w:t>March </w:t>
            </w:r>
            <w:r>
              <w:rPr>
                <w:spacing w:val="-4"/>
                <w:sz w:val="22"/>
              </w:rPr>
              <w:t>2024</w:t>
            </w:r>
          </w:p>
        </w:tc>
      </w:tr>
      <w:tr>
        <w:trPr>
          <w:trHeight w:val="295" w:hRule="atLeast"/>
        </w:trPr>
        <w:tc>
          <w:tcPr>
            <w:tcW w:w="5035" w:type="dxa"/>
            <w:tcBorders>
              <w:top w:val="single" w:sz="12" w:space="0" w:color="9CC2E4"/>
            </w:tcBorders>
          </w:tcPr>
          <w:p>
            <w:pPr>
              <w:pStyle w:val="TableParagraph"/>
              <w:spacing w:line="264" w:lineRule="exact" w:before="0"/>
              <w:ind w:left="107" w:right="0"/>
              <w:jc w:val="left"/>
              <w:rPr>
                <w:sz w:val="22"/>
              </w:rPr>
            </w:pPr>
            <w:r>
              <w:rPr>
                <w:sz w:val="22"/>
              </w:rPr>
              <w:t>Total</w:t>
            </w:r>
            <w:r>
              <w:rPr>
                <w:spacing w:val="-9"/>
                <w:sz w:val="22"/>
              </w:rPr>
              <w:t> </w:t>
            </w:r>
            <w:r>
              <w:rPr>
                <w:sz w:val="22"/>
              </w:rPr>
              <w:t>Nonfarm</w:t>
            </w:r>
            <w:r>
              <w:rPr>
                <w:spacing w:val="-8"/>
                <w:sz w:val="22"/>
              </w:rPr>
              <w:t> </w:t>
            </w:r>
            <w:r>
              <w:rPr>
                <w:sz w:val="22"/>
              </w:rPr>
              <w:t>Payroll</w:t>
            </w:r>
            <w:r>
              <w:rPr>
                <w:spacing w:val="-8"/>
                <w:sz w:val="22"/>
              </w:rPr>
              <w:t> </w:t>
            </w:r>
            <w:r>
              <w:rPr>
                <w:spacing w:val="-4"/>
                <w:sz w:val="22"/>
              </w:rPr>
              <w:t>Jobs</w:t>
            </w:r>
          </w:p>
        </w:tc>
        <w:tc>
          <w:tcPr>
            <w:tcW w:w="1170" w:type="dxa"/>
            <w:tcBorders>
              <w:top w:val="single" w:sz="12" w:space="0" w:color="9CC2E4"/>
            </w:tcBorders>
          </w:tcPr>
          <w:p>
            <w:pPr>
              <w:pStyle w:val="TableParagraph"/>
              <w:spacing w:before="28"/>
              <w:ind w:right="97"/>
              <w:rPr>
                <w:sz w:val="22"/>
              </w:rPr>
            </w:pPr>
            <w:r>
              <w:rPr>
                <w:spacing w:val="-2"/>
                <w:sz w:val="22"/>
              </w:rPr>
              <w:t>1378.1</w:t>
            </w:r>
          </w:p>
        </w:tc>
        <w:tc>
          <w:tcPr>
            <w:tcW w:w="1080" w:type="dxa"/>
            <w:tcBorders>
              <w:top w:val="single" w:sz="12" w:space="0" w:color="9CC2E4"/>
            </w:tcBorders>
          </w:tcPr>
          <w:p>
            <w:pPr>
              <w:pStyle w:val="TableParagraph"/>
              <w:spacing w:before="28"/>
              <w:ind w:right="97"/>
              <w:rPr>
                <w:sz w:val="22"/>
              </w:rPr>
            </w:pPr>
            <w:r>
              <w:rPr>
                <w:spacing w:val="-2"/>
                <w:sz w:val="22"/>
              </w:rPr>
              <w:t>1372.9</w:t>
            </w:r>
          </w:p>
        </w:tc>
        <w:tc>
          <w:tcPr>
            <w:tcW w:w="1075" w:type="dxa"/>
            <w:tcBorders>
              <w:top w:val="single" w:sz="12" w:space="0" w:color="9CC2E4"/>
            </w:tcBorders>
          </w:tcPr>
          <w:p>
            <w:pPr>
              <w:pStyle w:val="TableParagraph"/>
              <w:spacing w:before="28"/>
              <w:rPr>
                <w:sz w:val="22"/>
              </w:rPr>
            </w:pPr>
            <w:r>
              <w:rPr>
                <w:spacing w:val="-2"/>
                <w:sz w:val="22"/>
              </w:rPr>
              <w:t>1365.1</w:t>
            </w:r>
          </w:p>
        </w:tc>
        <w:tc>
          <w:tcPr>
            <w:tcW w:w="1160" w:type="dxa"/>
            <w:tcBorders>
              <w:top w:val="single" w:sz="12" w:space="0" w:color="9CC2E4"/>
            </w:tcBorders>
          </w:tcPr>
          <w:p>
            <w:pPr>
              <w:pStyle w:val="TableParagraph"/>
              <w:spacing w:before="28"/>
              <w:ind w:right="95"/>
              <w:rPr>
                <w:sz w:val="22"/>
              </w:rPr>
            </w:pPr>
            <w:r>
              <w:rPr>
                <w:spacing w:val="-5"/>
                <w:sz w:val="22"/>
              </w:rPr>
              <w:t>5.2</w:t>
            </w:r>
          </w:p>
        </w:tc>
        <w:tc>
          <w:tcPr>
            <w:tcW w:w="1159" w:type="dxa"/>
            <w:tcBorders>
              <w:top w:val="single" w:sz="12" w:space="0" w:color="9CC2E4"/>
            </w:tcBorders>
          </w:tcPr>
          <w:p>
            <w:pPr>
              <w:pStyle w:val="TableParagraph"/>
              <w:spacing w:before="28"/>
              <w:ind w:right="95"/>
              <w:rPr>
                <w:sz w:val="22"/>
              </w:rPr>
            </w:pPr>
            <w:r>
              <w:rPr>
                <w:spacing w:val="-4"/>
                <w:sz w:val="22"/>
              </w:rPr>
              <w:t>13.0</w:t>
            </w:r>
          </w:p>
        </w:tc>
      </w:tr>
      <w:tr>
        <w:trPr>
          <w:trHeight w:val="299" w:hRule="atLeast"/>
        </w:trPr>
        <w:tc>
          <w:tcPr>
            <w:tcW w:w="5035" w:type="dxa"/>
          </w:tcPr>
          <w:p>
            <w:pPr>
              <w:pStyle w:val="TableParagraph"/>
              <w:spacing w:line="240" w:lineRule="auto" w:before="0"/>
              <w:ind w:left="207" w:right="0"/>
              <w:jc w:val="left"/>
              <w:rPr>
                <w:sz w:val="22"/>
              </w:rPr>
            </w:pPr>
            <w:r>
              <w:rPr>
                <w:sz w:val="22"/>
              </w:rPr>
              <w:t>Goods</w:t>
            </w:r>
            <w:r>
              <w:rPr>
                <w:spacing w:val="-9"/>
                <w:sz w:val="22"/>
              </w:rPr>
              <w:t> </w:t>
            </w:r>
            <w:r>
              <w:rPr>
                <w:spacing w:val="-2"/>
                <w:sz w:val="22"/>
              </w:rPr>
              <w:t>Producing</w:t>
            </w:r>
          </w:p>
        </w:tc>
        <w:tc>
          <w:tcPr>
            <w:tcW w:w="1170" w:type="dxa"/>
          </w:tcPr>
          <w:p>
            <w:pPr>
              <w:pStyle w:val="TableParagraph"/>
              <w:rPr>
                <w:sz w:val="22"/>
              </w:rPr>
            </w:pPr>
            <w:r>
              <w:rPr>
                <w:spacing w:val="-2"/>
                <w:sz w:val="22"/>
              </w:rPr>
              <w:t>234.8</w:t>
            </w:r>
          </w:p>
        </w:tc>
        <w:tc>
          <w:tcPr>
            <w:tcW w:w="1080" w:type="dxa"/>
          </w:tcPr>
          <w:p>
            <w:pPr>
              <w:pStyle w:val="TableParagraph"/>
              <w:rPr>
                <w:sz w:val="22"/>
              </w:rPr>
            </w:pPr>
            <w:r>
              <w:rPr>
                <w:spacing w:val="-2"/>
                <w:sz w:val="22"/>
              </w:rPr>
              <w:t>232.5</w:t>
            </w:r>
          </w:p>
        </w:tc>
        <w:tc>
          <w:tcPr>
            <w:tcW w:w="1075" w:type="dxa"/>
          </w:tcPr>
          <w:p>
            <w:pPr>
              <w:pStyle w:val="TableParagraph"/>
              <w:rPr>
                <w:sz w:val="22"/>
              </w:rPr>
            </w:pPr>
            <w:r>
              <w:rPr>
                <w:spacing w:val="-2"/>
                <w:sz w:val="22"/>
              </w:rPr>
              <w:t>234.0</w:t>
            </w:r>
          </w:p>
        </w:tc>
        <w:tc>
          <w:tcPr>
            <w:tcW w:w="1160" w:type="dxa"/>
          </w:tcPr>
          <w:p>
            <w:pPr>
              <w:pStyle w:val="TableParagraph"/>
              <w:ind w:right="95"/>
              <w:rPr>
                <w:sz w:val="22"/>
              </w:rPr>
            </w:pPr>
            <w:r>
              <w:rPr>
                <w:spacing w:val="-5"/>
                <w:sz w:val="22"/>
              </w:rPr>
              <w:t>2.3</w:t>
            </w:r>
          </w:p>
        </w:tc>
        <w:tc>
          <w:tcPr>
            <w:tcW w:w="1159" w:type="dxa"/>
          </w:tcPr>
          <w:p>
            <w:pPr>
              <w:pStyle w:val="TableParagraph"/>
              <w:ind w:right="95"/>
              <w:rPr>
                <w:sz w:val="22"/>
              </w:rPr>
            </w:pPr>
            <w:r>
              <w:rPr>
                <w:spacing w:val="-5"/>
                <w:sz w:val="22"/>
              </w:rPr>
              <w:t>0.8</w:t>
            </w:r>
          </w:p>
        </w:tc>
      </w:tr>
      <w:tr>
        <w:trPr>
          <w:trHeight w:val="299" w:hRule="atLeast"/>
        </w:trPr>
        <w:tc>
          <w:tcPr>
            <w:tcW w:w="5035" w:type="dxa"/>
          </w:tcPr>
          <w:p>
            <w:pPr>
              <w:pStyle w:val="TableParagraph"/>
              <w:spacing w:line="240" w:lineRule="auto" w:before="0"/>
              <w:ind w:left="355" w:right="0"/>
              <w:jc w:val="left"/>
              <w:rPr>
                <w:sz w:val="22"/>
              </w:rPr>
            </w:pPr>
            <w:r>
              <w:rPr>
                <w:sz w:val="22"/>
              </w:rPr>
              <w:t>Mining,</w:t>
            </w:r>
            <w:r>
              <w:rPr>
                <w:spacing w:val="-8"/>
                <w:sz w:val="22"/>
              </w:rPr>
              <w:t> </w:t>
            </w:r>
            <w:r>
              <w:rPr>
                <w:sz w:val="22"/>
              </w:rPr>
              <w:t>Logging,</w:t>
            </w:r>
            <w:r>
              <w:rPr>
                <w:spacing w:val="-6"/>
                <w:sz w:val="22"/>
              </w:rPr>
              <w:t> </w:t>
            </w:r>
            <w:r>
              <w:rPr>
                <w:sz w:val="22"/>
              </w:rPr>
              <w:t>&amp;</w:t>
            </w:r>
            <w:r>
              <w:rPr>
                <w:spacing w:val="-8"/>
                <w:sz w:val="22"/>
              </w:rPr>
              <w:t> </w:t>
            </w:r>
            <w:r>
              <w:rPr>
                <w:spacing w:val="-2"/>
                <w:sz w:val="22"/>
              </w:rPr>
              <w:t>Construction</w:t>
            </w:r>
          </w:p>
        </w:tc>
        <w:tc>
          <w:tcPr>
            <w:tcW w:w="1170" w:type="dxa"/>
          </w:tcPr>
          <w:p>
            <w:pPr>
              <w:pStyle w:val="TableParagraph"/>
              <w:rPr>
                <w:sz w:val="22"/>
              </w:rPr>
            </w:pPr>
            <w:r>
              <w:rPr>
                <w:spacing w:val="-4"/>
                <w:sz w:val="22"/>
              </w:rPr>
              <w:t>70.2</w:t>
            </w:r>
          </w:p>
        </w:tc>
        <w:tc>
          <w:tcPr>
            <w:tcW w:w="1080" w:type="dxa"/>
          </w:tcPr>
          <w:p>
            <w:pPr>
              <w:pStyle w:val="TableParagraph"/>
              <w:rPr>
                <w:sz w:val="22"/>
              </w:rPr>
            </w:pPr>
            <w:r>
              <w:rPr>
                <w:spacing w:val="-4"/>
                <w:sz w:val="22"/>
              </w:rPr>
              <w:t>69.1</w:t>
            </w:r>
          </w:p>
        </w:tc>
        <w:tc>
          <w:tcPr>
            <w:tcW w:w="1075" w:type="dxa"/>
          </w:tcPr>
          <w:p>
            <w:pPr>
              <w:pStyle w:val="TableParagraph"/>
              <w:rPr>
                <w:sz w:val="22"/>
              </w:rPr>
            </w:pPr>
            <w:r>
              <w:rPr>
                <w:spacing w:val="-4"/>
                <w:sz w:val="22"/>
              </w:rPr>
              <w:t>71.5</w:t>
            </w:r>
          </w:p>
        </w:tc>
        <w:tc>
          <w:tcPr>
            <w:tcW w:w="1160" w:type="dxa"/>
          </w:tcPr>
          <w:p>
            <w:pPr>
              <w:pStyle w:val="TableParagraph"/>
              <w:ind w:right="95"/>
              <w:rPr>
                <w:sz w:val="22"/>
              </w:rPr>
            </w:pPr>
            <w:r>
              <w:rPr>
                <w:spacing w:val="-5"/>
                <w:sz w:val="22"/>
              </w:rPr>
              <w:t>1.1</w:t>
            </w:r>
          </w:p>
        </w:tc>
        <w:tc>
          <w:tcPr>
            <w:tcW w:w="1159" w:type="dxa"/>
          </w:tcPr>
          <w:p>
            <w:pPr>
              <w:pStyle w:val="TableParagraph"/>
              <w:ind w:right="95"/>
              <w:rPr>
                <w:sz w:val="22"/>
              </w:rPr>
            </w:pPr>
            <w:r>
              <w:rPr>
                <w:spacing w:val="-2"/>
                <w:sz w:val="22"/>
              </w:rPr>
              <w:t>-</w:t>
            </w:r>
            <w:r>
              <w:rPr>
                <w:spacing w:val="-5"/>
                <w:sz w:val="22"/>
              </w:rPr>
              <w:t>1.3</w:t>
            </w:r>
          </w:p>
        </w:tc>
      </w:tr>
      <w:tr>
        <w:trPr>
          <w:trHeight w:val="300" w:hRule="atLeast"/>
        </w:trPr>
        <w:tc>
          <w:tcPr>
            <w:tcW w:w="5035" w:type="dxa"/>
          </w:tcPr>
          <w:p>
            <w:pPr>
              <w:pStyle w:val="TableParagraph"/>
              <w:spacing w:line="240" w:lineRule="auto" w:before="0"/>
              <w:ind w:left="604" w:right="0"/>
              <w:jc w:val="left"/>
              <w:rPr>
                <w:b/>
                <w:sz w:val="22"/>
              </w:rPr>
            </w:pPr>
            <w:r>
              <w:rPr>
                <w:b/>
                <w:sz w:val="22"/>
              </w:rPr>
              <w:t>Mining</w:t>
            </w:r>
            <w:r>
              <w:rPr>
                <w:b/>
                <w:spacing w:val="-4"/>
                <w:sz w:val="22"/>
              </w:rPr>
              <w:t> </w:t>
            </w:r>
            <w:r>
              <w:rPr>
                <w:b/>
                <w:sz w:val="22"/>
              </w:rPr>
              <w:t>&amp;</w:t>
            </w:r>
            <w:r>
              <w:rPr>
                <w:b/>
                <w:spacing w:val="-5"/>
                <w:sz w:val="22"/>
              </w:rPr>
              <w:t> </w:t>
            </w:r>
            <w:r>
              <w:rPr>
                <w:b/>
                <w:spacing w:val="-2"/>
                <w:sz w:val="22"/>
              </w:rPr>
              <w:t>Logging</w:t>
            </w:r>
          </w:p>
        </w:tc>
        <w:tc>
          <w:tcPr>
            <w:tcW w:w="1170" w:type="dxa"/>
          </w:tcPr>
          <w:p>
            <w:pPr>
              <w:pStyle w:val="TableParagraph"/>
              <w:spacing w:before="32"/>
              <w:ind w:right="95"/>
              <w:rPr>
                <w:b/>
                <w:sz w:val="22"/>
              </w:rPr>
            </w:pPr>
            <w:r>
              <w:rPr>
                <w:b/>
                <w:spacing w:val="-5"/>
                <w:sz w:val="22"/>
              </w:rPr>
              <w:t>5.1</w:t>
            </w:r>
          </w:p>
        </w:tc>
        <w:tc>
          <w:tcPr>
            <w:tcW w:w="1080" w:type="dxa"/>
          </w:tcPr>
          <w:p>
            <w:pPr>
              <w:pStyle w:val="TableParagraph"/>
              <w:spacing w:before="32"/>
              <w:ind w:right="95"/>
              <w:rPr>
                <w:b/>
                <w:sz w:val="22"/>
              </w:rPr>
            </w:pPr>
            <w:r>
              <w:rPr>
                <w:b/>
                <w:spacing w:val="-5"/>
                <w:sz w:val="22"/>
              </w:rPr>
              <w:t>5.1</w:t>
            </w:r>
          </w:p>
        </w:tc>
        <w:tc>
          <w:tcPr>
            <w:tcW w:w="1075" w:type="dxa"/>
          </w:tcPr>
          <w:p>
            <w:pPr>
              <w:pStyle w:val="TableParagraph"/>
              <w:spacing w:before="32"/>
              <w:ind w:right="95"/>
              <w:rPr>
                <w:b/>
                <w:sz w:val="22"/>
              </w:rPr>
            </w:pPr>
            <w:r>
              <w:rPr>
                <w:b/>
                <w:spacing w:val="-5"/>
                <w:sz w:val="22"/>
              </w:rPr>
              <w:t>5.3</w:t>
            </w:r>
          </w:p>
        </w:tc>
        <w:tc>
          <w:tcPr>
            <w:tcW w:w="1160" w:type="dxa"/>
          </w:tcPr>
          <w:p>
            <w:pPr>
              <w:pStyle w:val="TableParagraph"/>
              <w:spacing w:before="32"/>
              <w:ind w:right="95"/>
              <w:rPr>
                <w:b/>
                <w:sz w:val="22"/>
              </w:rPr>
            </w:pPr>
            <w:r>
              <w:rPr>
                <w:b/>
                <w:spacing w:val="-5"/>
                <w:sz w:val="22"/>
              </w:rPr>
              <w:t>0.0</w:t>
            </w:r>
          </w:p>
        </w:tc>
        <w:tc>
          <w:tcPr>
            <w:tcW w:w="1159" w:type="dxa"/>
          </w:tcPr>
          <w:p>
            <w:pPr>
              <w:pStyle w:val="TableParagraph"/>
              <w:spacing w:before="32"/>
              <w:ind w:right="95"/>
              <w:rPr>
                <w:b/>
                <w:sz w:val="22"/>
              </w:rPr>
            </w:pPr>
            <w:r>
              <w:rPr>
                <w:b/>
                <w:spacing w:val="-2"/>
                <w:sz w:val="22"/>
              </w:rPr>
              <w:t>-</w:t>
            </w:r>
            <w:r>
              <w:rPr>
                <w:b/>
                <w:spacing w:val="-5"/>
                <w:sz w:val="22"/>
              </w:rPr>
              <w:t>0.2</w:t>
            </w:r>
          </w:p>
        </w:tc>
      </w:tr>
      <w:tr>
        <w:trPr>
          <w:trHeight w:val="299" w:hRule="atLeast"/>
        </w:trPr>
        <w:tc>
          <w:tcPr>
            <w:tcW w:w="5035" w:type="dxa"/>
          </w:tcPr>
          <w:p>
            <w:pPr>
              <w:pStyle w:val="TableParagraph"/>
              <w:spacing w:line="240" w:lineRule="auto" w:before="0"/>
              <w:ind w:left="603" w:right="0"/>
              <w:jc w:val="left"/>
              <w:rPr>
                <w:b/>
                <w:sz w:val="22"/>
              </w:rPr>
            </w:pPr>
            <w:r>
              <w:rPr>
                <w:b/>
                <w:spacing w:val="-2"/>
                <w:sz w:val="22"/>
              </w:rPr>
              <w:t>Construction</w:t>
            </w:r>
          </w:p>
        </w:tc>
        <w:tc>
          <w:tcPr>
            <w:tcW w:w="1170" w:type="dxa"/>
          </w:tcPr>
          <w:p>
            <w:pPr>
              <w:pStyle w:val="TableParagraph"/>
              <w:rPr>
                <w:b/>
                <w:sz w:val="22"/>
              </w:rPr>
            </w:pPr>
            <w:r>
              <w:rPr>
                <w:b/>
                <w:spacing w:val="-4"/>
                <w:sz w:val="22"/>
              </w:rPr>
              <w:t>65.1</w:t>
            </w:r>
          </w:p>
        </w:tc>
        <w:tc>
          <w:tcPr>
            <w:tcW w:w="1080" w:type="dxa"/>
          </w:tcPr>
          <w:p>
            <w:pPr>
              <w:pStyle w:val="TableParagraph"/>
              <w:rPr>
                <w:b/>
                <w:sz w:val="22"/>
              </w:rPr>
            </w:pPr>
            <w:r>
              <w:rPr>
                <w:b/>
                <w:spacing w:val="-4"/>
                <w:sz w:val="22"/>
              </w:rPr>
              <w:t>64.0</w:t>
            </w:r>
          </w:p>
        </w:tc>
        <w:tc>
          <w:tcPr>
            <w:tcW w:w="1075" w:type="dxa"/>
          </w:tcPr>
          <w:p>
            <w:pPr>
              <w:pStyle w:val="TableParagraph"/>
              <w:ind w:right="95"/>
              <w:rPr>
                <w:b/>
                <w:sz w:val="22"/>
              </w:rPr>
            </w:pPr>
            <w:r>
              <w:rPr>
                <w:b/>
                <w:spacing w:val="-4"/>
                <w:sz w:val="22"/>
              </w:rPr>
              <w:t>66.2</w:t>
            </w:r>
          </w:p>
        </w:tc>
        <w:tc>
          <w:tcPr>
            <w:tcW w:w="1160" w:type="dxa"/>
          </w:tcPr>
          <w:p>
            <w:pPr>
              <w:pStyle w:val="TableParagraph"/>
              <w:ind w:right="95"/>
              <w:rPr>
                <w:b/>
                <w:sz w:val="22"/>
              </w:rPr>
            </w:pPr>
            <w:r>
              <w:rPr>
                <w:b/>
                <w:spacing w:val="-5"/>
                <w:sz w:val="22"/>
              </w:rPr>
              <w:t>1.1</w:t>
            </w:r>
          </w:p>
        </w:tc>
        <w:tc>
          <w:tcPr>
            <w:tcW w:w="1159" w:type="dxa"/>
          </w:tcPr>
          <w:p>
            <w:pPr>
              <w:pStyle w:val="TableParagraph"/>
              <w:ind w:right="95"/>
              <w:rPr>
                <w:b/>
                <w:sz w:val="22"/>
              </w:rPr>
            </w:pPr>
            <w:r>
              <w:rPr>
                <w:b/>
                <w:spacing w:val="-2"/>
                <w:sz w:val="22"/>
              </w:rPr>
              <w:t>-</w:t>
            </w:r>
            <w:r>
              <w:rPr>
                <w:b/>
                <w:spacing w:val="-5"/>
                <w:sz w:val="22"/>
              </w:rPr>
              <w:t>1.1</w:t>
            </w:r>
          </w:p>
        </w:tc>
      </w:tr>
      <w:tr>
        <w:trPr>
          <w:trHeight w:val="299" w:hRule="atLeast"/>
        </w:trPr>
        <w:tc>
          <w:tcPr>
            <w:tcW w:w="5035" w:type="dxa"/>
          </w:tcPr>
          <w:p>
            <w:pPr>
              <w:pStyle w:val="TableParagraph"/>
              <w:spacing w:line="240" w:lineRule="auto" w:before="0"/>
              <w:ind w:left="952" w:right="0"/>
              <w:jc w:val="left"/>
              <w:rPr>
                <w:sz w:val="22"/>
              </w:rPr>
            </w:pPr>
            <w:r>
              <w:rPr>
                <w:sz w:val="22"/>
              </w:rPr>
              <w:t>Specialty</w:t>
            </w:r>
            <w:r>
              <w:rPr>
                <w:spacing w:val="-8"/>
                <w:sz w:val="22"/>
              </w:rPr>
              <w:t> </w:t>
            </w:r>
            <w:r>
              <w:rPr>
                <w:sz w:val="22"/>
              </w:rPr>
              <w:t>Trade</w:t>
            </w:r>
            <w:r>
              <w:rPr>
                <w:spacing w:val="-10"/>
                <w:sz w:val="22"/>
              </w:rPr>
              <w:t> </w:t>
            </w:r>
            <w:r>
              <w:rPr>
                <w:spacing w:val="-2"/>
                <w:sz w:val="22"/>
              </w:rPr>
              <w:t>Contractors</w:t>
            </w:r>
          </w:p>
        </w:tc>
        <w:tc>
          <w:tcPr>
            <w:tcW w:w="1170" w:type="dxa"/>
          </w:tcPr>
          <w:p>
            <w:pPr>
              <w:pStyle w:val="TableParagraph"/>
              <w:rPr>
                <w:sz w:val="22"/>
              </w:rPr>
            </w:pPr>
            <w:r>
              <w:rPr>
                <w:spacing w:val="-4"/>
                <w:sz w:val="22"/>
              </w:rPr>
              <w:t>41.0</w:t>
            </w:r>
          </w:p>
        </w:tc>
        <w:tc>
          <w:tcPr>
            <w:tcW w:w="1080" w:type="dxa"/>
          </w:tcPr>
          <w:p>
            <w:pPr>
              <w:pStyle w:val="TableParagraph"/>
              <w:rPr>
                <w:sz w:val="22"/>
              </w:rPr>
            </w:pPr>
            <w:r>
              <w:rPr>
                <w:spacing w:val="-4"/>
                <w:sz w:val="22"/>
              </w:rPr>
              <w:t>40.3</w:t>
            </w:r>
          </w:p>
        </w:tc>
        <w:tc>
          <w:tcPr>
            <w:tcW w:w="1075" w:type="dxa"/>
          </w:tcPr>
          <w:p>
            <w:pPr>
              <w:pStyle w:val="TableParagraph"/>
              <w:rPr>
                <w:sz w:val="22"/>
              </w:rPr>
            </w:pPr>
            <w:r>
              <w:rPr>
                <w:spacing w:val="-4"/>
                <w:sz w:val="22"/>
              </w:rPr>
              <w:t>41.3</w:t>
            </w:r>
          </w:p>
        </w:tc>
        <w:tc>
          <w:tcPr>
            <w:tcW w:w="1160" w:type="dxa"/>
          </w:tcPr>
          <w:p>
            <w:pPr>
              <w:pStyle w:val="TableParagraph"/>
              <w:ind w:right="95"/>
              <w:rPr>
                <w:sz w:val="22"/>
              </w:rPr>
            </w:pPr>
            <w:r>
              <w:rPr>
                <w:spacing w:val="-5"/>
                <w:sz w:val="22"/>
              </w:rPr>
              <w:t>0.7</w:t>
            </w:r>
          </w:p>
        </w:tc>
        <w:tc>
          <w:tcPr>
            <w:tcW w:w="1159" w:type="dxa"/>
          </w:tcPr>
          <w:p>
            <w:pPr>
              <w:pStyle w:val="TableParagraph"/>
              <w:ind w:right="95"/>
              <w:rPr>
                <w:sz w:val="22"/>
              </w:rPr>
            </w:pPr>
            <w:r>
              <w:rPr>
                <w:spacing w:val="-2"/>
                <w:sz w:val="22"/>
              </w:rPr>
              <w:t>-</w:t>
            </w:r>
            <w:r>
              <w:rPr>
                <w:spacing w:val="-5"/>
                <w:sz w:val="22"/>
              </w:rPr>
              <w:t>0.3</w:t>
            </w:r>
          </w:p>
        </w:tc>
      </w:tr>
      <w:tr>
        <w:trPr>
          <w:trHeight w:val="300" w:hRule="atLeast"/>
        </w:trPr>
        <w:tc>
          <w:tcPr>
            <w:tcW w:w="5035" w:type="dxa"/>
          </w:tcPr>
          <w:p>
            <w:pPr>
              <w:pStyle w:val="TableParagraph"/>
              <w:spacing w:line="240" w:lineRule="auto" w:before="0"/>
              <w:ind w:left="604" w:right="0"/>
              <w:jc w:val="left"/>
              <w:rPr>
                <w:b/>
                <w:sz w:val="22"/>
              </w:rPr>
            </w:pPr>
            <w:r>
              <w:rPr>
                <w:b/>
                <w:spacing w:val="-2"/>
                <w:sz w:val="22"/>
              </w:rPr>
              <w:t>Manufacturing</w:t>
            </w:r>
          </w:p>
        </w:tc>
        <w:tc>
          <w:tcPr>
            <w:tcW w:w="1170" w:type="dxa"/>
          </w:tcPr>
          <w:p>
            <w:pPr>
              <w:pStyle w:val="TableParagraph"/>
              <w:spacing w:before="32"/>
              <w:rPr>
                <w:b/>
                <w:sz w:val="22"/>
              </w:rPr>
            </w:pPr>
            <w:r>
              <w:rPr>
                <w:b/>
                <w:spacing w:val="-2"/>
                <w:sz w:val="22"/>
              </w:rPr>
              <w:t>164.6</w:t>
            </w:r>
          </w:p>
        </w:tc>
        <w:tc>
          <w:tcPr>
            <w:tcW w:w="1080" w:type="dxa"/>
          </w:tcPr>
          <w:p>
            <w:pPr>
              <w:pStyle w:val="TableParagraph"/>
              <w:spacing w:before="32"/>
              <w:rPr>
                <w:b/>
                <w:sz w:val="22"/>
              </w:rPr>
            </w:pPr>
            <w:r>
              <w:rPr>
                <w:b/>
                <w:spacing w:val="-2"/>
                <w:sz w:val="22"/>
              </w:rPr>
              <w:t>163.4</w:t>
            </w:r>
          </w:p>
        </w:tc>
        <w:tc>
          <w:tcPr>
            <w:tcW w:w="1075" w:type="dxa"/>
          </w:tcPr>
          <w:p>
            <w:pPr>
              <w:pStyle w:val="TableParagraph"/>
              <w:spacing w:before="32"/>
              <w:ind w:right="95"/>
              <w:rPr>
                <w:b/>
                <w:sz w:val="22"/>
              </w:rPr>
            </w:pPr>
            <w:r>
              <w:rPr>
                <w:b/>
                <w:spacing w:val="-2"/>
                <w:sz w:val="22"/>
              </w:rPr>
              <w:t>162.5</w:t>
            </w:r>
          </w:p>
        </w:tc>
        <w:tc>
          <w:tcPr>
            <w:tcW w:w="1160" w:type="dxa"/>
          </w:tcPr>
          <w:p>
            <w:pPr>
              <w:pStyle w:val="TableParagraph"/>
              <w:spacing w:before="32"/>
              <w:ind w:right="95"/>
              <w:rPr>
                <w:b/>
                <w:sz w:val="22"/>
              </w:rPr>
            </w:pPr>
            <w:r>
              <w:rPr>
                <w:b/>
                <w:spacing w:val="-5"/>
                <w:sz w:val="22"/>
              </w:rPr>
              <w:t>1.2</w:t>
            </w:r>
          </w:p>
        </w:tc>
        <w:tc>
          <w:tcPr>
            <w:tcW w:w="1159" w:type="dxa"/>
          </w:tcPr>
          <w:p>
            <w:pPr>
              <w:pStyle w:val="TableParagraph"/>
              <w:spacing w:before="32"/>
              <w:ind w:right="95"/>
              <w:rPr>
                <w:b/>
                <w:sz w:val="22"/>
              </w:rPr>
            </w:pPr>
            <w:r>
              <w:rPr>
                <w:b/>
                <w:spacing w:val="-5"/>
                <w:sz w:val="22"/>
              </w:rPr>
              <w:t>2.1</w:t>
            </w:r>
          </w:p>
        </w:tc>
      </w:tr>
      <w:tr>
        <w:trPr>
          <w:trHeight w:val="299" w:hRule="atLeast"/>
        </w:trPr>
        <w:tc>
          <w:tcPr>
            <w:tcW w:w="5035" w:type="dxa"/>
          </w:tcPr>
          <w:p>
            <w:pPr>
              <w:pStyle w:val="TableParagraph"/>
              <w:spacing w:line="240" w:lineRule="auto" w:before="0"/>
              <w:ind w:left="952" w:right="0"/>
              <w:jc w:val="left"/>
              <w:rPr>
                <w:sz w:val="22"/>
              </w:rPr>
            </w:pPr>
            <w:r>
              <w:rPr>
                <w:sz w:val="22"/>
              </w:rPr>
              <w:t>Durable</w:t>
            </w:r>
            <w:r>
              <w:rPr>
                <w:spacing w:val="-9"/>
                <w:sz w:val="22"/>
              </w:rPr>
              <w:t> </w:t>
            </w:r>
            <w:r>
              <w:rPr>
                <w:spacing w:val="-2"/>
                <w:sz w:val="22"/>
              </w:rPr>
              <w:t>Goods</w:t>
            </w:r>
          </w:p>
        </w:tc>
        <w:tc>
          <w:tcPr>
            <w:tcW w:w="1170" w:type="dxa"/>
          </w:tcPr>
          <w:p>
            <w:pPr>
              <w:pStyle w:val="TableParagraph"/>
              <w:rPr>
                <w:sz w:val="22"/>
              </w:rPr>
            </w:pPr>
            <w:r>
              <w:rPr>
                <w:spacing w:val="-4"/>
                <w:sz w:val="22"/>
              </w:rPr>
              <w:t>78.9</w:t>
            </w:r>
          </w:p>
        </w:tc>
        <w:tc>
          <w:tcPr>
            <w:tcW w:w="1080" w:type="dxa"/>
          </w:tcPr>
          <w:p>
            <w:pPr>
              <w:pStyle w:val="TableParagraph"/>
              <w:rPr>
                <w:sz w:val="22"/>
              </w:rPr>
            </w:pPr>
            <w:r>
              <w:rPr>
                <w:spacing w:val="-4"/>
                <w:sz w:val="22"/>
              </w:rPr>
              <w:t>78.0</w:t>
            </w:r>
          </w:p>
        </w:tc>
        <w:tc>
          <w:tcPr>
            <w:tcW w:w="1075" w:type="dxa"/>
          </w:tcPr>
          <w:p>
            <w:pPr>
              <w:pStyle w:val="TableParagraph"/>
              <w:rPr>
                <w:sz w:val="22"/>
              </w:rPr>
            </w:pPr>
            <w:r>
              <w:rPr>
                <w:spacing w:val="-4"/>
                <w:sz w:val="22"/>
              </w:rPr>
              <w:t>77.6</w:t>
            </w:r>
          </w:p>
        </w:tc>
        <w:tc>
          <w:tcPr>
            <w:tcW w:w="1160" w:type="dxa"/>
          </w:tcPr>
          <w:p>
            <w:pPr>
              <w:pStyle w:val="TableParagraph"/>
              <w:ind w:right="95"/>
              <w:rPr>
                <w:sz w:val="22"/>
              </w:rPr>
            </w:pPr>
            <w:r>
              <w:rPr>
                <w:spacing w:val="-5"/>
                <w:sz w:val="22"/>
              </w:rPr>
              <w:t>0.9</w:t>
            </w:r>
          </w:p>
        </w:tc>
        <w:tc>
          <w:tcPr>
            <w:tcW w:w="1159" w:type="dxa"/>
          </w:tcPr>
          <w:p>
            <w:pPr>
              <w:pStyle w:val="TableParagraph"/>
              <w:ind w:right="95"/>
              <w:rPr>
                <w:sz w:val="22"/>
              </w:rPr>
            </w:pPr>
            <w:r>
              <w:rPr>
                <w:spacing w:val="-5"/>
                <w:sz w:val="22"/>
              </w:rPr>
              <w:t>1.3</w:t>
            </w:r>
          </w:p>
        </w:tc>
      </w:tr>
      <w:tr>
        <w:trPr>
          <w:trHeight w:val="299" w:hRule="atLeast"/>
        </w:trPr>
        <w:tc>
          <w:tcPr>
            <w:tcW w:w="5035" w:type="dxa"/>
          </w:tcPr>
          <w:p>
            <w:pPr>
              <w:pStyle w:val="TableParagraph"/>
              <w:spacing w:line="240" w:lineRule="auto" w:before="0"/>
              <w:ind w:left="952" w:right="0"/>
              <w:jc w:val="left"/>
              <w:rPr>
                <w:sz w:val="22"/>
              </w:rPr>
            </w:pPr>
            <w:r>
              <w:rPr>
                <w:spacing w:val="-2"/>
                <w:sz w:val="22"/>
              </w:rPr>
              <w:t>Nondurable</w:t>
            </w:r>
            <w:r>
              <w:rPr>
                <w:spacing w:val="6"/>
                <w:sz w:val="22"/>
              </w:rPr>
              <w:t> </w:t>
            </w:r>
            <w:r>
              <w:rPr>
                <w:spacing w:val="-4"/>
                <w:sz w:val="22"/>
              </w:rPr>
              <w:t>Goods</w:t>
            </w:r>
          </w:p>
        </w:tc>
        <w:tc>
          <w:tcPr>
            <w:tcW w:w="1170" w:type="dxa"/>
          </w:tcPr>
          <w:p>
            <w:pPr>
              <w:pStyle w:val="TableParagraph"/>
              <w:rPr>
                <w:sz w:val="22"/>
              </w:rPr>
            </w:pPr>
            <w:r>
              <w:rPr>
                <w:spacing w:val="-4"/>
                <w:sz w:val="22"/>
              </w:rPr>
              <w:t>85.7</w:t>
            </w:r>
          </w:p>
        </w:tc>
        <w:tc>
          <w:tcPr>
            <w:tcW w:w="1080" w:type="dxa"/>
          </w:tcPr>
          <w:p>
            <w:pPr>
              <w:pStyle w:val="TableParagraph"/>
              <w:rPr>
                <w:sz w:val="22"/>
              </w:rPr>
            </w:pPr>
            <w:r>
              <w:rPr>
                <w:spacing w:val="-4"/>
                <w:sz w:val="22"/>
              </w:rPr>
              <w:t>85.4</w:t>
            </w:r>
          </w:p>
        </w:tc>
        <w:tc>
          <w:tcPr>
            <w:tcW w:w="1075" w:type="dxa"/>
          </w:tcPr>
          <w:p>
            <w:pPr>
              <w:pStyle w:val="TableParagraph"/>
              <w:rPr>
                <w:sz w:val="22"/>
              </w:rPr>
            </w:pPr>
            <w:r>
              <w:rPr>
                <w:spacing w:val="-4"/>
                <w:sz w:val="22"/>
              </w:rPr>
              <w:t>84.9</w:t>
            </w:r>
          </w:p>
        </w:tc>
        <w:tc>
          <w:tcPr>
            <w:tcW w:w="1160" w:type="dxa"/>
          </w:tcPr>
          <w:p>
            <w:pPr>
              <w:pStyle w:val="TableParagraph"/>
              <w:ind w:right="95"/>
              <w:rPr>
                <w:sz w:val="22"/>
              </w:rPr>
            </w:pPr>
            <w:r>
              <w:rPr>
                <w:spacing w:val="-5"/>
                <w:sz w:val="22"/>
              </w:rPr>
              <w:t>0.3</w:t>
            </w:r>
          </w:p>
        </w:tc>
        <w:tc>
          <w:tcPr>
            <w:tcW w:w="1159" w:type="dxa"/>
          </w:tcPr>
          <w:p>
            <w:pPr>
              <w:pStyle w:val="TableParagraph"/>
              <w:ind w:right="95"/>
              <w:rPr>
                <w:sz w:val="22"/>
              </w:rPr>
            </w:pPr>
            <w:r>
              <w:rPr>
                <w:spacing w:val="-5"/>
                <w:sz w:val="22"/>
              </w:rPr>
              <w:t>0.8</w:t>
            </w:r>
          </w:p>
        </w:tc>
      </w:tr>
      <w:tr>
        <w:trPr>
          <w:trHeight w:val="300" w:hRule="atLeast"/>
        </w:trPr>
        <w:tc>
          <w:tcPr>
            <w:tcW w:w="5035" w:type="dxa"/>
          </w:tcPr>
          <w:p>
            <w:pPr>
              <w:pStyle w:val="TableParagraph"/>
              <w:spacing w:line="240" w:lineRule="auto" w:before="0"/>
              <w:ind w:left="206" w:right="0"/>
              <w:jc w:val="left"/>
              <w:rPr>
                <w:sz w:val="22"/>
              </w:rPr>
            </w:pPr>
            <w:r>
              <w:rPr>
                <w:sz w:val="22"/>
              </w:rPr>
              <w:t>Service</w:t>
            </w:r>
            <w:r>
              <w:rPr>
                <w:spacing w:val="-9"/>
                <w:sz w:val="22"/>
              </w:rPr>
              <w:t> </w:t>
            </w:r>
            <w:r>
              <w:rPr>
                <w:spacing w:val="-2"/>
                <w:sz w:val="22"/>
              </w:rPr>
              <w:t>Providing</w:t>
            </w:r>
          </w:p>
        </w:tc>
        <w:tc>
          <w:tcPr>
            <w:tcW w:w="1170" w:type="dxa"/>
          </w:tcPr>
          <w:p>
            <w:pPr>
              <w:pStyle w:val="TableParagraph"/>
              <w:spacing w:before="32"/>
              <w:ind w:right="97"/>
              <w:rPr>
                <w:sz w:val="22"/>
              </w:rPr>
            </w:pPr>
            <w:r>
              <w:rPr>
                <w:spacing w:val="-2"/>
                <w:sz w:val="22"/>
              </w:rPr>
              <w:t>1143.3</w:t>
            </w:r>
          </w:p>
        </w:tc>
        <w:tc>
          <w:tcPr>
            <w:tcW w:w="1080" w:type="dxa"/>
          </w:tcPr>
          <w:p>
            <w:pPr>
              <w:pStyle w:val="TableParagraph"/>
              <w:spacing w:before="32"/>
              <w:ind w:right="97"/>
              <w:rPr>
                <w:sz w:val="22"/>
              </w:rPr>
            </w:pPr>
            <w:r>
              <w:rPr>
                <w:spacing w:val="-2"/>
                <w:sz w:val="22"/>
              </w:rPr>
              <w:t>1140.4</w:t>
            </w:r>
          </w:p>
        </w:tc>
        <w:tc>
          <w:tcPr>
            <w:tcW w:w="1075" w:type="dxa"/>
          </w:tcPr>
          <w:p>
            <w:pPr>
              <w:pStyle w:val="TableParagraph"/>
              <w:spacing w:before="32"/>
              <w:rPr>
                <w:sz w:val="22"/>
              </w:rPr>
            </w:pPr>
            <w:r>
              <w:rPr>
                <w:spacing w:val="-2"/>
                <w:sz w:val="22"/>
              </w:rPr>
              <w:t>1131.1</w:t>
            </w:r>
          </w:p>
        </w:tc>
        <w:tc>
          <w:tcPr>
            <w:tcW w:w="1160" w:type="dxa"/>
          </w:tcPr>
          <w:p>
            <w:pPr>
              <w:pStyle w:val="TableParagraph"/>
              <w:spacing w:before="32"/>
              <w:ind w:right="95"/>
              <w:rPr>
                <w:sz w:val="22"/>
              </w:rPr>
            </w:pPr>
            <w:r>
              <w:rPr>
                <w:spacing w:val="-5"/>
                <w:sz w:val="22"/>
              </w:rPr>
              <w:t>2.9</w:t>
            </w:r>
          </w:p>
        </w:tc>
        <w:tc>
          <w:tcPr>
            <w:tcW w:w="1159" w:type="dxa"/>
          </w:tcPr>
          <w:p>
            <w:pPr>
              <w:pStyle w:val="TableParagraph"/>
              <w:spacing w:before="32"/>
              <w:ind w:right="95"/>
              <w:rPr>
                <w:sz w:val="22"/>
              </w:rPr>
            </w:pPr>
            <w:r>
              <w:rPr>
                <w:spacing w:val="-4"/>
                <w:sz w:val="22"/>
              </w:rPr>
              <w:t>12.2</w:t>
            </w:r>
          </w:p>
        </w:tc>
      </w:tr>
      <w:tr>
        <w:trPr>
          <w:trHeight w:val="299" w:hRule="atLeast"/>
        </w:trPr>
        <w:tc>
          <w:tcPr>
            <w:tcW w:w="5035" w:type="dxa"/>
          </w:tcPr>
          <w:p>
            <w:pPr>
              <w:pStyle w:val="TableParagraph"/>
              <w:spacing w:line="240" w:lineRule="auto" w:before="0"/>
              <w:ind w:left="603" w:right="0"/>
              <w:jc w:val="left"/>
              <w:rPr>
                <w:b/>
                <w:sz w:val="22"/>
              </w:rPr>
            </w:pPr>
            <w:r>
              <w:rPr>
                <w:b/>
                <w:sz w:val="22"/>
              </w:rPr>
              <w:t>Trade,</w:t>
            </w:r>
            <w:r>
              <w:rPr>
                <w:b/>
                <w:spacing w:val="-10"/>
                <w:sz w:val="22"/>
              </w:rPr>
              <w:t> </w:t>
            </w:r>
            <w:r>
              <w:rPr>
                <w:b/>
                <w:sz w:val="22"/>
              </w:rPr>
              <w:t>Transportation,</w:t>
            </w:r>
            <w:r>
              <w:rPr>
                <w:b/>
                <w:spacing w:val="-10"/>
                <w:sz w:val="22"/>
              </w:rPr>
              <w:t> </w:t>
            </w:r>
            <w:r>
              <w:rPr>
                <w:b/>
                <w:sz w:val="22"/>
              </w:rPr>
              <w:t>&amp;</w:t>
            </w:r>
            <w:r>
              <w:rPr>
                <w:b/>
                <w:spacing w:val="-10"/>
                <w:sz w:val="22"/>
              </w:rPr>
              <w:t> </w:t>
            </w:r>
            <w:r>
              <w:rPr>
                <w:b/>
                <w:spacing w:val="-2"/>
                <w:sz w:val="22"/>
              </w:rPr>
              <w:t>Utilities</w:t>
            </w:r>
          </w:p>
        </w:tc>
        <w:tc>
          <w:tcPr>
            <w:tcW w:w="1170" w:type="dxa"/>
          </w:tcPr>
          <w:p>
            <w:pPr>
              <w:pStyle w:val="TableParagraph"/>
              <w:rPr>
                <w:b/>
                <w:sz w:val="22"/>
              </w:rPr>
            </w:pPr>
            <w:r>
              <w:rPr>
                <w:b/>
                <w:spacing w:val="-2"/>
                <w:sz w:val="22"/>
              </w:rPr>
              <w:t>271.6</w:t>
            </w:r>
          </w:p>
        </w:tc>
        <w:tc>
          <w:tcPr>
            <w:tcW w:w="1080" w:type="dxa"/>
          </w:tcPr>
          <w:p>
            <w:pPr>
              <w:pStyle w:val="TableParagraph"/>
              <w:rPr>
                <w:b/>
                <w:sz w:val="22"/>
              </w:rPr>
            </w:pPr>
            <w:r>
              <w:rPr>
                <w:b/>
                <w:spacing w:val="-2"/>
                <w:sz w:val="22"/>
              </w:rPr>
              <w:t>270.7</w:t>
            </w:r>
          </w:p>
        </w:tc>
        <w:tc>
          <w:tcPr>
            <w:tcW w:w="1075" w:type="dxa"/>
          </w:tcPr>
          <w:p>
            <w:pPr>
              <w:pStyle w:val="TableParagraph"/>
              <w:ind w:right="95"/>
              <w:rPr>
                <w:b/>
                <w:sz w:val="22"/>
              </w:rPr>
            </w:pPr>
            <w:r>
              <w:rPr>
                <w:b/>
                <w:spacing w:val="-2"/>
                <w:sz w:val="22"/>
              </w:rPr>
              <w:t>266.9</w:t>
            </w:r>
          </w:p>
        </w:tc>
        <w:tc>
          <w:tcPr>
            <w:tcW w:w="1160" w:type="dxa"/>
          </w:tcPr>
          <w:p>
            <w:pPr>
              <w:pStyle w:val="TableParagraph"/>
              <w:ind w:right="95"/>
              <w:rPr>
                <w:b/>
                <w:sz w:val="22"/>
              </w:rPr>
            </w:pPr>
            <w:r>
              <w:rPr>
                <w:b/>
                <w:spacing w:val="-5"/>
                <w:sz w:val="22"/>
              </w:rPr>
              <w:t>0.9</w:t>
            </w:r>
          </w:p>
        </w:tc>
        <w:tc>
          <w:tcPr>
            <w:tcW w:w="1159" w:type="dxa"/>
          </w:tcPr>
          <w:p>
            <w:pPr>
              <w:pStyle w:val="TableParagraph"/>
              <w:ind w:right="95"/>
              <w:rPr>
                <w:b/>
                <w:sz w:val="22"/>
              </w:rPr>
            </w:pPr>
            <w:r>
              <w:rPr>
                <w:b/>
                <w:spacing w:val="-5"/>
                <w:sz w:val="22"/>
              </w:rPr>
              <w:t>4.7</w:t>
            </w:r>
          </w:p>
        </w:tc>
      </w:tr>
      <w:tr>
        <w:trPr>
          <w:trHeight w:val="299" w:hRule="atLeast"/>
        </w:trPr>
        <w:tc>
          <w:tcPr>
            <w:tcW w:w="5035" w:type="dxa"/>
          </w:tcPr>
          <w:p>
            <w:pPr>
              <w:pStyle w:val="TableParagraph"/>
              <w:spacing w:line="240" w:lineRule="auto" w:before="0"/>
              <w:ind w:left="952" w:right="0"/>
              <w:jc w:val="left"/>
              <w:rPr>
                <w:sz w:val="22"/>
              </w:rPr>
            </w:pPr>
            <w:r>
              <w:rPr>
                <w:sz w:val="22"/>
              </w:rPr>
              <w:t>Wholesale</w:t>
            </w:r>
            <w:r>
              <w:rPr>
                <w:spacing w:val="-11"/>
                <w:sz w:val="22"/>
              </w:rPr>
              <w:t> </w:t>
            </w:r>
            <w:r>
              <w:rPr>
                <w:spacing w:val="-2"/>
                <w:sz w:val="22"/>
              </w:rPr>
              <w:t>Trade</w:t>
            </w:r>
          </w:p>
        </w:tc>
        <w:tc>
          <w:tcPr>
            <w:tcW w:w="1170" w:type="dxa"/>
          </w:tcPr>
          <w:p>
            <w:pPr>
              <w:pStyle w:val="TableParagraph"/>
              <w:rPr>
                <w:sz w:val="22"/>
              </w:rPr>
            </w:pPr>
            <w:r>
              <w:rPr>
                <w:spacing w:val="-4"/>
                <w:sz w:val="22"/>
              </w:rPr>
              <w:t>53.7</w:t>
            </w:r>
          </w:p>
        </w:tc>
        <w:tc>
          <w:tcPr>
            <w:tcW w:w="1080" w:type="dxa"/>
          </w:tcPr>
          <w:p>
            <w:pPr>
              <w:pStyle w:val="TableParagraph"/>
              <w:rPr>
                <w:sz w:val="22"/>
              </w:rPr>
            </w:pPr>
            <w:r>
              <w:rPr>
                <w:spacing w:val="-4"/>
                <w:sz w:val="22"/>
              </w:rPr>
              <w:t>53.9</w:t>
            </w:r>
          </w:p>
        </w:tc>
        <w:tc>
          <w:tcPr>
            <w:tcW w:w="1075" w:type="dxa"/>
          </w:tcPr>
          <w:p>
            <w:pPr>
              <w:pStyle w:val="TableParagraph"/>
              <w:rPr>
                <w:sz w:val="22"/>
              </w:rPr>
            </w:pPr>
            <w:r>
              <w:rPr>
                <w:spacing w:val="-4"/>
                <w:sz w:val="22"/>
              </w:rPr>
              <w:t>53.0</w:t>
            </w:r>
          </w:p>
        </w:tc>
        <w:tc>
          <w:tcPr>
            <w:tcW w:w="1160" w:type="dxa"/>
          </w:tcPr>
          <w:p>
            <w:pPr>
              <w:pStyle w:val="TableParagraph"/>
              <w:ind w:right="95"/>
              <w:rPr>
                <w:sz w:val="22"/>
              </w:rPr>
            </w:pPr>
            <w:r>
              <w:rPr>
                <w:spacing w:val="-2"/>
                <w:sz w:val="22"/>
              </w:rPr>
              <w:t>-</w:t>
            </w:r>
            <w:r>
              <w:rPr>
                <w:spacing w:val="-5"/>
                <w:sz w:val="22"/>
              </w:rPr>
              <w:t>0.2</w:t>
            </w:r>
          </w:p>
        </w:tc>
        <w:tc>
          <w:tcPr>
            <w:tcW w:w="1159" w:type="dxa"/>
          </w:tcPr>
          <w:p>
            <w:pPr>
              <w:pStyle w:val="TableParagraph"/>
              <w:ind w:right="95"/>
              <w:rPr>
                <w:sz w:val="22"/>
              </w:rPr>
            </w:pPr>
            <w:r>
              <w:rPr>
                <w:spacing w:val="-5"/>
                <w:sz w:val="22"/>
              </w:rPr>
              <w:t>0.7</w:t>
            </w:r>
          </w:p>
        </w:tc>
      </w:tr>
      <w:tr>
        <w:trPr>
          <w:trHeight w:val="300" w:hRule="atLeast"/>
        </w:trPr>
        <w:tc>
          <w:tcPr>
            <w:tcW w:w="5035" w:type="dxa"/>
          </w:tcPr>
          <w:p>
            <w:pPr>
              <w:pStyle w:val="TableParagraph"/>
              <w:spacing w:line="240" w:lineRule="auto" w:before="0"/>
              <w:ind w:left="952" w:right="0"/>
              <w:jc w:val="left"/>
              <w:rPr>
                <w:sz w:val="22"/>
              </w:rPr>
            </w:pPr>
            <w:r>
              <w:rPr>
                <w:sz w:val="22"/>
              </w:rPr>
              <w:t>Retail</w:t>
            </w:r>
            <w:r>
              <w:rPr>
                <w:spacing w:val="-7"/>
                <w:sz w:val="22"/>
              </w:rPr>
              <w:t> </w:t>
            </w:r>
            <w:r>
              <w:rPr>
                <w:spacing w:val="-2"/>
                <w:sz w:val="22"/>
              </w:rPr>
              <w:t>Trade</w:t>
            </w:r>
          </w:p>
        </w:tc>
        <w:tc>
          <w:tcPr>
            <w:tcW w:w="1170" w:type="dxa"/>
          </w:tcPr>
          <w:p>
            <w:pPr>
              <w:pStyle w:val="TableParagraph"/>
              <w:spacing w:before="32"/>
              <w:rPr>
                <w:sz w:val="22"/>
              </w:rPr>
            </w:pPr>
            <w:r>
              <w:rPr>
                <w:spacing w:val="-2"/>
                <w:sz w:val="22"/>
              </w:rPr>
              <w:t>145.2</w:t>
            </w:r>
          </w:p>
        </w:tc>
        <w:tc>
          <w:tcPr>
            <w:tcW w:w="1080" w:type="dxa"/>
          </w:tcPr>
          <w:p>
            <w:pPr>
              <w:pStyle w:val="TableParagraph"/>
              <w:spacing w:before="32"/>
              <w:rPr>
                <w:sz w:val="22"/>
              </w:rPr>
            </w:pPr>
            <w:r>
              <w:rPr>
                <w:spacing w:val="-2"/>
                <w:sz w:val="22"/>
              </w:rPr>
              <w:t>144.6</w:t>
            </w:r>
          </w:p>
        </w:tc>
        <w:tc>
          <w:tcPr>
            <w:tcW w:w="1075" w:type="dxa"/>
          </w:tcPr>
          <w:p>
            <w:pPr>
              <w:pStyle w:val="TableParagraph"/>
              <w:spacing w:before="32"/>
              <w:rPr>
                <w:sz w:val="22"/>
              </w:rPr>
            </w:pPr>
            <w:r>
              <w:rPr>
                <w:spacing w:val="-2"/>
                <w:sz w:val="22"/>
              </w:rPr>
              <w:t>143.0</w:t>
            </w:r>
          </w:p>
        </w:tc>
        <w:tc>
          <w:tcPr>
            <w:tcW w:w="1160" w:type="dxa"/>
          </w:tcPr>
          <w:p>
            <w:pPr>
              <w:pStyle w:val="TableParagraph"/>
              <w:spacing w:before="32"/>
              <w:ind w:right="95"/>
              <w:rPr>
                <w:sz w:val="22"/>
              </w:rPr>
            </w:pPr>
            <w:r>
              <w:rPr>
                <w:spacing w:val="-5"/>
                <w:sz w:val="22"/>
              </w:rPr>
              <w:t>0.6</w:t>
            </w:r>
          </w:p>
        </w:tc>
        <w:tc>
          <w:tcPr>
            <w:tcW w:w="1159" w:type="dxa"/>
          </w:tcPr>
          <w:p>
            <w:pPr>
              <w:pStyle w:val="TableParagraph"/>
              <w:spacing w:before="32"/>
              <w:ind w:right="95"/>
              <w:rPr>
                <w:sz w:val="22"/>
              </w:rPr>
            </w:pPr>
            <w:r>
              <w:rPr>
                <w:spacing w:val="-5"/>
                <w:sz w:val="22"/>
              </w:rPr>
              <w:t>2.2</w:t>
            </w:r>
          </w:p>
        </w:tc>
      </w:tr>
      <w:tr>
        <w:trPr>
          <w:trHeight w:val="299" w:hRule="atLeast"/>
        </w:trPr>
        <w:tc>
          <w:tcPr>
            <w:tcW w:w="5035" w:type="dxa"/>
          </w:tcPr>
          <w:p>
            <w:pPr>
              <w:pStyle w:val="TableParagraph"/>
              <w:spacing w:line="240" w:lineRule="auto" w:before="0"/>
              <w:ind w:left="952" w:right="0"/>
              <w:jc w:val="left"/>
              <w:rPr>
                <w:sz w:val="22"/>
              </w:rPr>
            </w:pPr>
            <w:r>
              <w:rPr>
                <w:sz w:val="22"/>
              </w:rPr>
              <w:t>Transportation,</w:t>
            </w:r>
            <w:r>
              <w:rPr>
                <w:spacing w:val="-12"/>
                <w:sz w:val="22"/>
              </w:rPr>
              <w:t> </w:t>
            </w:r>
            <w:r>
              <w:rPr>
                <w:sz w:val="22"/>
              </w:rPr>
              <w:t>Warehousing,</w:t>
            </w:r>
            <w:r>
              <w:rPr>
                <w:spacing w:val="-13"/>
                <w:sz w:val="22"/>
              </w:rPr>
              <w:t> </w:t>
            </w:r>
            <w:r>
              <w:rPr>
                <w:sz w:val="22"/>
              </w:rPr>
              <w:t>&amp;</w:t>
            </w:r>
            <w:r>
              <w:rPr>
                <w:spacing w:val="-12"/>
                <w:sz w:val="22"/>
              </w:rPr>
              <w:t> </w:t>
            </w:r>
            <w:r>
              <w:rPr>
                <w:spacing w:val="-2"/>
                <w:sz w:val="22"/>
              </w:rPr>
              <w:t>Utilities</w:t>
            </w:r>
          </w:p>
        </w:tc>
        <w:tc>
          <w:tcPr>
            <w:tcW w:w="1170" w:type="dxa"/>
          </w:tcPr>
          <w:p>
            <w:pPr>
              <w:pStyle w:val="TableParagraph"/>
              <w:rPr>
                <w:sz w:val="22"/>
              </w:rPr>
            </w:pPr>
            <w:r>
              <w:rPr>
                <w:spacing w:val="-4"/>
                <w:sz w:val="22"/>
              </w:rPr>
              <w:t>72.7</w:t>
            </w:r>
          </w:p>
        </w:tc>
        <w:tc>
          <w:tcPr>
            <w:tcW w:w="1080" w:type="dxa"/>
          </w:tcPr>
          <w:p>
            <w:pPr>
              <w:pStyle w:val="TableParagraph"/>
              <w:rPr>
                <w:sz w:val="22"/>
              </w:rPr>
            </w:pPr>
            <w:r>
              <w:rPr>
                <w:spacing w:val="-4"/>
                <w:sz w:val="22"/>
              </w:rPr>
              <w:t>72.2</w:t>
            </w:r>
          </w:p>
        </w:tc>
        <w:tc>
          <w:tcPr>
            <w:tcW w:w="1075" w:type="dxa"/>
          </w:tcPr>
          <w:p>
            <w:pPr>
              <w:pStyle w:val="TableParagraph"/>
              <w:rPr>
                <w:sz w:val="22"/>
              </w:rPr>
            </w:pPr>
            <w:r>
              <w:rPr>
                <w:spacing w:val="-4"/>
                <w:sz w:val="22"/>
              </w:rPr>
              <w:t>70.9</w:t>
            </w:r>
          </w:p>
        </w:tc>
        <w:tc>
          <w:tcPr>
            <w:tcW w:w="1160" w:type="dxa"/>
          </w:tcPr>
          <w:p>
            <w:pPr>
              <w:pStyle w:val="TableParagraph"/>
              <w:ind w:right="95"/>
              <w:rPr>
                <w:sz w:val="22"/>
              </w:rPr>
            </w:pPr>
            <w:r>
              <w:rPr>
                <w:spacing w:val="-5"/>
                <w:sz w:val="22"/>
              </w:rPr>
              <w:t>0.5</w:t>
            </w:r>
          </w:p>
        </w:tc>
        <w:tc>
          <w:tcPr>
            <w:tcW w:w="1159" w:type="dxa"/>
          </w:tcPr>
          <w:p>
            <w:pPr>
              <w:pStyle w:val="TableParagraph"/>
              <w:ind w:right="95"/>
              <w:rPr>
                <w:sz w:val="22"/>
              </w:rPr>
            </w:pPr>
            <w:r>
              <w:rPr>
                <w:spacing w:val="-5"/>
                <w:sz w:val="22"/>
              </w:rPr>
              <w:t>1.8</w:t>
            </w:r>
          </w:p>
        </w:tc>
      </w:tr>
      <w:tr>
        <w:trPr>
          <w:trHeight w:val="299" w:hRule="atLeast"/>
        </w:trPr>
        <w:tc>
          <w:tcPr>
            <w:tcW w:w="5035" w:type="dxa"/>
          </w:tcPr>
          <w:p>
            <w:pPr>
              <w:pStyle w:val="TableParagraph"/>
              <w:spacing w:line="240" w:lineRule="auto" w:before="0"/>
              <w:ind w:left="603" w:right="0"/>
              <w:jc w:val="left"/>
              <w:rPr>
                <w:b/>
                <w:sz w:val="22"/>
              </w:rPr>
            </w:pPr>
            <w:r>
              <w:rPr>
                <w:b/>
                <w:spacing w:val="-2"/>
                <w:sz w:val="22"/>
              </w:rPr>
              <w:t>Information</w:t>
            </w:r>
          </w:p>
        </w:tc>
        <w:tc>
          <w:tcPr>
            <w:tcW w:w="1170" w:type="dxa"/>
          </w:tcPr>
          <w:p>
            <w:pPr>
              <w:pStyle w:val="TableParagraph"/>
              <w:rPr>
                <w:b/>
                <w:sz w:val="22"/>
              </w:rPr>
            </w:pPr>
            <w:r>
              <w:rPr>
                <w:b/>
                <w:spacing w:val="-4"/>
                <w:sz w:val="22"/>
              </w:rPr>
              <w:t>11.5</w:t>
            </w:r>
          </w:p>
        </w:tc>
        <w:tc>
          <w:tcPr>
            <w:tcW w:w="1080" w:type="dxa"/>
          </w:tcPr>
          <w:p>
            <w:pPr>
              <w:pStyle w:val="TableParagraph"/>
              <w:rPr>
                <w:b/>
                <w:sz w:val="22"/>
              </w:rPr>
            </w:pPr>
            <w:r>
              <w:rPr>
                <w:b/>
                <w:spacing w:val="-4"/>
                <w:sz w:val="22"/>
              </w:rPr>
              <w:t>11.8</w:t>
            </w:r>
          </w:p>
        </w:tc>
        <w:tc>
          <w:tcPr>
            <w:tcW w:w="1075" w:type="dxa"/>
          </w:tcPr>
          <w:p>
            <w:pPr>
              <w:pStyle w:val="TableParagraph"/>
              <w:ind w:right="95"/>
              <w:rPr>
                <w:b/>
                <w:sz w:val="22"/>
              </w:rPr>
            </w:pPr>
            <w:r>
              <w:rPr>
                <w:b/>
                <w:spacing w:val="-4"/>
                <w:sz w:val="22"/>
              </w:rPr>
              <w:t>12.6</w:t>
            </w:r>
          </w:p>
        </w:tc>
        <w:tc>
          <w:tcPr>
            <w:tcW w:w="1160" w:type="dxa"/>
          </w:tcPr>
          <w:p>
            <w:pPr>
              <w:pStyle w:val="TableParagraph"/>
              <w:ind w:right="95"/>
              <w:rPr>
                <w:b/>
                <w:sz w:val="22"/>
              </w:rPr>
            </w:pPr>
            <w:r>
              <w:rPr>
                <w:b/>
                <w:spacing w:val="-2"/>
                <w:sz w:val="22"/>
              </w:rPr>
              <w:t>-</w:t>
            </w:r>
            <w:r>
              <w:rPr>
                <w:b/>
                <w:spacing w:val="-5"/>
                <w:sz w:val="22"/>
              </w:rPr>
              <w:t>0.3</w:t>
            </w:r>
          </w:p>
        </w:tc>
        <w:tc>
          <w:tcPr>
            <w:tcW w:w="1159" w:type="dxa"/>
          </w:tcPr>
          <w:p>
            <w:pPr>
              <w:pStyle w:val="TableParagraph"/>
              <w:ind w:right="95"/>
              <w:rPr>
                <w:b/>
                <w:sz w:val="22"/>
              </w:rPr>
            </w:pPr>
            <w:r>
              <w:rPr>
                <w:b/>
                <w:spacing w:val="-2"/>
                <w:sz w:val="22"/>
              </w:rPr>
              <w:t>-</w:t>
            </w:r>
            <w:r>
              <w:rPr>
                <w:b/>
                <w:spacing w:val="-5"/>
                <w:sz w:val="22"/>
              </w:rPr>
              <w:t>1.1</w:t>
            </w:r>
          </w:p>
        </w:tc>
      </w:tr>
      <w:tr>
        <w:trPr>
          <w:trHeight w:val="300" w:hRule="atLeast"/>
        </w:trPr>
        <w:tc>
          <w:tcPr>
            <w:tcW w:w="5035" w:type="dxa"/>
          </w:tcPr>
          <w:p>
            <w:pPr>
              <w:pStyle w:val="TableParagraph"/>
              <w:spacing w:line="240" w:lineRule="auto" w:before="0"/>
              <w:ind w:left="604" w:right="0"/>
              <w:jc w:val="left"/>
              <w:rPr>
                <w:b/>
                <w:sz w:val="22"/>
              </w:rPr>
            </w:pPr>
            <w:r>
              <w:rPr>
                <w:b/>
                <w:sz w:val="22"/>
              </w:rPr>
              <w:t>Financial</w:t>
            </w:r>
            <w:r>
              <w:rPr>
                <w:b/>
                <w:spacing w:val="-12"/>
                <w:sz w:val="22"/>
              </w:rPr>
              <w:t> </w:t>
            </w:r>
            <w:r>
              <w:rPr>
                <w:b/>
                <w:spacing w:val="-2"/>
                <w:sz w:val="22"/>
              </w:rPr>
              <w:t>Activities</w:t>
            </w:r>
          </w:p>
        </w:tc>
        <w:tc>
          <w:tcPr>
            <w:tcW w:w="1170" w:type="dxa"/>
          </w:tcPr>
          <w:p>
            <w:pPr>
              <w:pStyle w:val="TableParagraph"/>
              <w:spacing w:before="32"/>
              <w:rPr>
                <w:b/>
                <w:sz w:val="22"/>
              </w:rPr>
            </w:pPr>
            <w:r>
              <w:rPr>
                <w:b/>
                <w:spacing w:val="-4"/>
                <w:sz w:val="22"/>
              </w:rPr>
              <w:t>69.8</w:t>
            </w:r>
          </w:p>
        </w:tc>
        <w:tc>
          <w:tcPr>
            <w:tcW w:w="1080" w:type="dxa"/>
          </w:tcPr>
          <w:p>
            <w:pPr>
              <w:pStyle w:val="TableParagraph"/>
              <w:spacing w:before="32"/>
              <w:rPr>
                <w:b/>
                <w:sz w:val="22"/>
              </w:rPr>
            </w:pPr>
            <w:r>
              <w:rPr>
                <w:b/>
                <w:spacing w:val="-4"/>
                <w:sz w:val="22"/>
              </w:rPr>
              <w:t>70.2</w:t>
            </w:r>
          </w:p>
        </w:tc>
        <w:tc>
          <w:tcPr>
            <w:tcW w:w="1075" w:type="dxa"/>
          </w:tcPr>
          <w:p>
            <w:pPr>
              <w:pStyle w:val="TableParagraph"/>
              <w:spacing w:before="32"/>
              <w:ind w:right="95"/>
              <w:rPr>
                <w:b/>
                <w:sz w:val="22"/>
              </w:rPr>
            </w:pPr>
            <w:r>
              <w:rPr>
                <w:b/>
                <w:spacing w:val="-4"/>
                <w:sz w:val="22"/>
              </w:rPr>
              <w:t>69.3</w:t>
            </w:r>
          </w:p>
        </w:tc>
        <w:tc>
          <w:tcPr>
            <w:tcW w:w="1160" w:type="dxa"/>
          </w:tcPr>
          <w:p>
            <w:pPr>
              <w:pStyle w:val="TableParagraph"/>
              <w:spacing w:before="32"/>
              <w:ind w:right="95"/>
              <w:rPr>
                <w:b/>
                <w:sz w:val="22"/>
              </w:rPr>
            </w:pPr>
            <w:r>
              <w:rPr>
                <w:b/>
                <w:spacing w:val="-2"/>
                <w:sz w:val="22"/>
              </w:rPr>
              <w:t>-</w:t>
            </w:r>
            <w:r>
              <w:rPr>
                <w:b/>
                <w:spacing w:val="-5"/>
                <w:sz w:val="22"/>
              </w:rPr>
              <w:t>0.4</w:t>
            </w:r>
          </w:p>
        </w:tc>
        <w:tc>
          <w:tcPr>
            <w:tcW w:w="1159" w:type="dxa"/>
          </w:tcPr>
          <w:p>
            <w:pPr>
              <w:pStyle w:val="TableParagraph"/>
              <w:spacing w:before="32"/>
              <w:ind w:right="95"/>
              <w:rPr>
                <w:b/>
                <w:sz w:val="22"/>
              </w:rPr>
            </w:pPr>
            <w:r>
              <w:rPr>
                <w:b/>
                <w:spacing w:val="-5"/>
                <w:sz w:val="22"/>
              </w:rPr>
              <w:t>0.5</w:t>
            </w:r>
          </w:p>
        </w:tc>
      </w:tr>
      <w:tr>
        <w:trPr>
          <w:trHeight w:val="299" w:hRule="atLeast"/>
        </w:trPr>
        <w:tc>
          <w:tcPr>
            <w:tcW w:w="5035" w:type="dxa"/>
          </w:tcPr>
          <w:p>
            <w:pPr>
              <w:pStyle w:val="TableParagraph"/>
              <w:spacing w:line="240" w:lineRule="auto" w:before="0"/>
              <w:ind w:left="1001" w:right="0"/>
              <w:jc w:val="left"/>
              <w:rPr>
                <w:sz w:val="22"/>
              </w:rPr>
            </w:pPr>
            <w:r>
              <w:rPr>
                <w:sz w:val="22"/>
              </w:rPr>
              <w:t>Finance</w:t>
            </w:r>
            <w:r>
              <w:rPr>
                <w:spacing w:val="-6"/>
                <w:sz w:val="22"/>
              </w:rPr>
              <w:t> </w:t>
            </w:r>
            <w:r>
              <w:rPr>
                <w:sz w:val="22"/>
              </w:rPr>
              <w:t>&amp;</w:t>
            </w:r>
            <w:r>
              <w:rPr>
                <w:spacing w:val="-5"/>
                <w:sz w:val="22"/>
              </w:rPr>
              <w:t> </w:t>
            </w:r>
            <w:r>
              <w:rPr>
                <w:spacing w:val="-2"/>
                <w:sz w:val="22"/>
              </w:rPr>
              <w:t>Insurance</w:t>
            </w:r>
          </w:p>
        </w:tc>
        <w:tc>
          <w:tcPr>
            <w:tcW w:w="1170" w:type="dxa"/>
          </w:tcPr>
          <w:p>
            <w:pPr>
              <w:pStyle w:val="TableParagraph"/>
              <w:rPr>
                <w:sz w:val="22"/>
              </w:rPr>
            </w:pPr>
            <w:r>
              <w:rPr>
                <w:spacing w:val="-4"/>
                <w:sz w:val="22"/>
              </w:rPr>
              <w:t>54.9</w:t>
            </w:r>
          </w:p>
        </w:tc>
        <w:tc>
          <w:tcPr>
            <w:tcW w:w="1080" w:type="dxa"/>
          </w:tcPr>
          <w:p>
            <w:pPr>
              <w:pStyle w:val="TableParagraph"/>
              <w:rPr>
                <w:sz w:val="22"/>
              </w:rPr>
            </w:pPr>
            <w:r>
              <w:rPr>
                <w:spacing w:val="-4"/>
                <w:sz w:val="22"/>
              </w:rPr>
              <w:t>55.2</w:t>
            </w:r>
          </w:p>
        </w:tc>
        <w:tc>
          <w:tcPr>
            <w:tcW w:w="1075" w:type="dxa"/>
          </w:tcPr>
          <w:p>
            <w:pPr>
              <w:pStyle w:val="TableParagraph"/>
              <w:rPr>
                <w:sz w:val="22"/>
              </w:rPr>
            </w:pPr>
            <w:r>
              <w:rPr>
                <w:spacing w:val="-4"/>
                <w:sz w:val="22"/>
              </w:rPr>
              <w:t>54.0</w:t>
            </w:r>
          </w:p>
        </w:tc>
        <w:tc>
          <w:tcPr>
            <w:tcW w:w="1160" w:type="dxa"/>
          </w:tcPr>
          <w:p>
            <w:pPr>
              <w:pStyle w:val="TableParagraph"/>
              <w:ind w:right="95"/>
              <w:rPr>
                <w:sz w:val="22"/>
              </w:rPr>
            </w:pPr>
            <w:r>
              <w:rPr>
                <w:spacing w:val="-2"/>
                <w:sz w:val="22"/>
              </w:rPr>
              <w:t>-</w:t>
            </w:r>
            <w:r>
              <w:rPr>
                <w:spacing w:val="-5"/>
                <w:sz w:val="22"/>
              </w:rPr>
              <w:t>0.3</w:t>
            </w:r>
          </w:p>
        </w:tc>
        <w:tc>
          <w:tcPr>
            <w:tcW w:w="1159" w:type="dxa"/>
          </w:tcPr>
          <w:p>
            <w:pPr>
              <w:pStyle w:val="TableParagraph"/>
              <w:ind w:right="95"/>
              <w:rPr>
                <w:sz w:val="22"/>
              </w:rPr>
            </w:pPr>
            <w:r>
              <w:rPr>
                <w:spacing w:val="-5"/>
                <w:sz w:val="22"/>
              </w:rPr>
              <w:t>0.9</w:t>
            </w:r>
          </w:p>
        </w:tc>
      </w:tr>
      <w:tr>
        <w:trPr>
          <w:trHeight w:val="299" w:hRule="atLeast"/>
        </w:trPr>
        <w:tc>
          <w:tcPr>
            <w:tcW w:w="5035" w:type="dxa"/>
          </w:tcPr>
          <w:p>
            <w:pPr>
              <w:pStyle w:val="TableParagraph"/>
              <w:spacing w:line="240" w:lineRule="auto" w:before="0"/>
              <w:ind w:left="1003" w:right="0"/>
              <w:jc w:val="left"/>
              <w:rPr>
                <w:sz w:val="22"/>
              </w:rPr>
            </w:pPr>
            <w:r>
              <w:rPr>
                <w:sz w:val="22"/>
              </w:rPr>
              <w:t>Real</w:t>
            </w:r>
            <w:r>
              <w:rPr>
                <w:spacing w:val="-7"/>
                <w:sz w:val="22"/>
              </w:rPr>
              <w:t> </w:t>
            </w:r>
            <w:r>
              <w:rPr>
                <w:sz w:val="22"/>
              </w:rPr>
              <w:t>Estate,</w:t>
            </w:r>
            <w:r>
              <w:rPr>
                <w:spacing w:val="-4"/>
                <w:sz w:val="22"/>
              </w:rPr>
              <w:t> </w:t>
            </w:r>
            <w:r>
              <w:rPr>
                <w:sz w:val="22"/>
              </w:rPr>
              <w:t>Rental,</w:t>
            </w:r>
            <w:r>
              <w:rPr>
                <w:spacing w:val="-7"/>
                <w:sz w:val="22"/>
              </w:rPr>
              <w:t> </w:t>
            </w:r>
            <w:r>
              <w:rPr>
                <w:sz w:val="22"/>
              </w:rPr>
              <w:t>&amp;</w:t>
            </w:r>
            <w:r>
              <w:rPr>
                <w:spacing w:val="-6"/>
                <w:sz w:val="22"/>
              </w:rPr>
              <w:t> </w:t>
            </w:r>
            <w:r>
              <w:rPr>
                <w:spacing w:val="-2"/>
                <w:sz w:val="22"/>
              </w:rPr>
              <w:t>Leasing</w:t>
            </w:r>
          </w:p>
        </w:tc>
        <w:tc>
          <w:tcPr>
            <w:tcW w:w="1170" w:type="dxa"/>
          </w:tcPr>
          <w:p>
            <w:pPr>
              <w:pStyle w:val="TableParagraph"/>
              <w:rPr>
                <w:sz w:val="22"/>
              </w:rPr>
            </w:pPr>
            <w:r>
              <w:rPr>
                <w:spacing w:val="-4"/>
                <w:sz w:val="22"/>
              </w:rPr>
              <w:t>14.9</w:t>
            </w:r>
          </w:p>
        </w:tc>
        <w:tc>
          <w:tcPr>
            <w:tcW w:w="1080" w:type="dxa"/>
          </w:tcPr>
          <w:p>
            <w:pPr>
              <w:pStyle w:val="TableParagraph"/>
              <w:rPr>
                <w:sz w:val="22"/>
              </w:rPr>
            </w:pPr>
            <w:r>
              <w:rPr>
                <w:spacing w:val="-4"/>
                <w:sz w:val="22"/>
              </w:rPr>
              <w:t>15.0</w:t>
            </w:r>
          </w:p>
        </w:tc>
        <w:tc>
          <w:tcPr>
            <w:tcW w:w="1075" w:type="dxa"/>
          </w:tcPr>
          <w:p>
            <w:pPr>
              <w:pStyle w:val="TableParagraph"/>
              <w:rPr>
                <w:sz w:val="22"/>
              </w:rPr>
            </w:pPr>
            <w:r>
              <w:rPr>
                <w:spacing w:val="-4"/>
                <w:sz w:val="22"/>
              </w:rPr>
              <w:t>15.3</w:t>
            </w:r>
          </w:p>
        </w:tc>
        <w:tc>
          <w:tcPr>
            <w:tcW w:w="1160" w:type="dxa"/>
          </w:tcPr>
          <w:p>
            <w:pPr>
              <w:pStyle w:val="TableParagraph"/>
              <w:ind w:right="95"/>
              <w:rPr>
                <w:sz w:val="22"/>
              </w:rPr>
            </w:pPr>
            <w:r>
              <w:rPr>
                <w:spacing w:val="-2"/>
                <w:sz w:val="22"/>
              </w:rPr>
              <w:t>-</w:t>
            </w:r>
            <w:r>
              <w:rPr>
                <w:spacing w:val="-5"/>
                <w:sz w:val="22"/>
              </w:rPr>
              <w:t>0.1</w:t>
            </w:r>
          </w:p>
        </w:tc>
        <w:tc>
          <w:tcPr>
            <w:tcW w:w="1159" w:type="dxa"/>
          </w:tcPr>
          <w:p>
            <w:pPr>
              <w:pStyle w:val="TableParagraph"/>
              <w:ind w:right="95"/>
              <w:rPr>
                <w:sz w:val="22"/>
              </w:rPr>
            </w:pPr>
            <w:r>
              <w:rPr>
                <w:spacing w:val="-2"/>
                <w:sz w:val="22"/>
              </w:rPr>
              <w:t>-</w:t>
            </w:r>
            <w:r>
              <w:rPr>
                <w:spacing w:val="-5"/>
                <w:sz w:val="22"/>
              </w:rPr>
              <w:t>0.4</w:t>
            </w:r>
          </w:p>
        </w:tc>
      </w:tr>
      <w:tr>
        <w:trPr>
          <w:trHeight w:val="300" w:hRule="atLeast"/>
        </w:trPr>
        <w:tc>
          <w:tcPr>
            <w:tcW w:w="5035" w:type="dxa"/>
          </w:tcPr>
          <w:p>
            <w:pPr>
              <w:pStyle w:val="TableParagraph"/>
              <w:spacing w:line="240" w:lineRule="auto" w:before="0"/>
              <w:ind w:left="604" w:right="0"/>
              <w:jc w:val="left"/>
              <w:rPr>
                <w:b/>
                <w:sz w:val="22"/>
              </w:rPr>
            </w:pPr>
            <w:r>
              <w:rPr>
                <w:b/>
                <w:sz w:val="22"/>
              </w:rPr>
              <w:t>Professional</w:t>
            </w:r>
            <w:r>
              <w:rPr>
                <w:b/>
                <w:spacing w:val="-9"/>
                <w:sz w:val="22"/>
              </w:rPr>
              <w:t> </w:t>
            </w:r>
            <w:r>
              <w:rPr>
                <w:b/>
                <w:sz w:val="22"/>
              </w:rPr>
              <w:t>&amp;</w:t>
            </w:r>
            <w:r>
              <w:rPr>
                <w:b/>
                <w:spacing w:val="-8"/>
                <w:sz w:val="22"/>
              </w:rPr>
              <w:t> </w:t>
            </w:r>
            <w:r>
              <w:rPr>
                <w:b/>
                <w:sz w:val="22"/>
              </w:rPr>
              <w:t>Business</w:t>
            </w:r>
            <w:r>
              <w:rPr>
                <w:b/>
                <w:spacing w:val="-9"/>
                <w:sz w:val="22"/>
              </w:rPr>
              <w:t> </w:t>
            </w:r>
            <w:r>
              <w:rPr>
                <w:b/>
                <w:spacing w:val="-2"/>
                <w:sz w:val="22"/>
              </w:rPr>
              <w:t>Services</w:t>
            </w:r>
          </w:p>
        </w:tc>
        <w:tc>
          <w:tcPr>
            <w:tcW w:w="1170" w:type="dxa"/>
          </w:tcPr>
          <w:p>
            <w:pPr>
              <w:pStyle w:val="TableParagraph"/>
              <w:spacing w:before="32"/>
              <w:rPr>
                <w:b/>
                <w:sz w:val="22"/>
              </w:rPr>
            </w:pPr>
            <w:r>
              <w:rPr>
                <w:b/>
                <w:spacing w:val="-2"/>
                <w:sz w:val="22"/>
              </w:rPr>
              <w:t>160.6</w:t>
            </w:r>
          </w:p>
        </w:tc>
        <w:tc>
          <w:tcPr>
            <w:tcW w:w="1080" w:type="dxa"/>
          </w:tcPr>
          <w:p>
            <w:pPr>
              <w:pStyle w:val="TableParagraph"/>
              <w:spacing w:before="32"/>
              <w:rPr>
                <w:b/>
                <w:sz w:val="22"/>
              </w:rPr>
            </w:pPr>
            <w:r>
              <w:rPr>
                <w:b/>
                <w:spacing w:val="-2"/>
                <w:sz w:val="22"/>
              </w:rPr>
              <w:t>162.7</w:t>
            </w:r>
          </w:p>
        </w:tc>
        <w:tc>
          <w:tcPr>
            <w:tcW w:w="1075" w:type="dxa"/>
          </w:tcPr>
          <w:p>
            <w:pPr>
              <w:pStyle w:val="TableParagraph"/>
              <w:spacing w:before="32"/>
              <w:ind w:right="95"/>
              <w:rPr>
                <w:b/>
                <w:sz w:val="22"/>
              </w:rPr>
            </w:pPr>
            <w:r>
              <w:rPr>
                <w:b/>
                <w:spacing w:val="-2"/>
                <w:sz w:val="22"/>
              </w:rPr>
              <w:t>160.2</w:t>
            </w:r>
          </w:p>
        </w:tc>
        <w:tc>
          <w:tcPr>
            <w:tcW w:w="1160" w:type="dxa"/>
          </w:tcPr>
          <w:p>
            <w:pPr>
              <w:pStyle w:val="TableParagraph"/>
              <w:spacing w:before="32"/>
              <w:ind w:right="95"/>
              <w:rPr>
                <w:b/>
                <w:sz w:val="22"/>
              </w:rPr>
            </w:pPr>
            <w:r>
              <w:rPr>
                <w:b/>
                <w:spacing w:val="-2"/>
                <w:sz w:val="22"/>
              </w:rPr>
              <w:t>-</w:t>
            </w:r>
            <w:r>
              <w:rPr>
                <w:b/>
                <w:spacing w:val="-5"/>
                <w:sz w:val="22"/>
              </w:rPr>
              <w:t>2.1</w:t>
            </w:r>
          </w:p>
        </w:tc>
        <w:tc>
          <w:tcPr>
            <w:tcW w:w="1159" w:type="dxa"/>
          </w:tcPr>
          <w:p>
            <w:pPr>
              <w:pStyle w:val="TableParagraph"/>
              <w:spacing w:before="32"/>
              <w:ind w:right="95"/>
              <w:rPr>
                <w:b/>
                <w:sz w:val="22"/>
              </w:rPr>
            </w:pPr>
            <w:r>
              <w:rPr>
                <w:b/>
                <w:spacing w:val="-5"/>
                <w:sz w:val="22"/>
              </w:rPr>
              <w:t>0.4</w:t>
            </w:r>
          </w:p>
        </w:tc>
      </w:tr>
      <w:tr>
        <w:trPr>
          <w:trHeight w:val="299" w:hRule="atLeast"/>
        </w:trPr>
        <w:tc>
          <w:tcPr>
            <w:tcW w:w="5035" w:type="dxa"/>
          </w:tcPr>
          <w:p>
            <w:pPr>
              <w:pStyle w:val="TableParagraph"/>
              <w:spacing w:line="240" w:lineRule="auto" w:before="0"/>
              <w:ind w:left="1001" w:right="0"/>
              <w:jc w:val="left"/>
              <w:rPr>
                <w:sz w:val="22"/>
              </w:rPr>
            </w:pPr>
            <w:r>
              <w:rPr>
                <w:sz w:val="22"/>
              </w:rPr>
              <w:t>Professional,</w:t>
            </w:r>
            <w:r>
              <w:rPr>
                <w:spacing w:val="-10"/>
                <w:sz w:val="22"/>
              </w:rPr>
              <w:t> </w:t>
            </w:r>
            <w:r>
              <w:rPr>
                <w:sz w:val="22"/>
              </w:rPr>
              <w:t>Scientific,</w:t>
            </w:r>
            <w:r>
              <w:rPr>
                <w:spacing w:val="-10"/>
                <w:sz w:val="22"/>
              </w:rPr>
              <w:t> </w:t>
            </w:r>
            <w:r>
              <w:rPr>
                <w:sz w:val="22"/>
              </w:rPr>
              <w:t>&amp;</w:t>
            </w:r>
            <w:r>
              <w:rPr>
                <w:spacing w:val="-9"/>
                <w:sz w:val="22"/>
              </w:rPr>
              <w:t> </w:t>
            </w:r>
            <w:r>
              <w:rPr>
                <w:spacing w:val="-2"/>
                <w:sz w:val="22"/>
              </w:rPr>
              <w:t>Technical</w:t>
            </w:r>
          </w:p>
        </w:tc>
        <w:tc>
          <w:tcPr>
            <w:tcW w:w="1170" w:type="dxa"/>
          </w:tcPr>
          <w:p>
            <w:pPr>
              <w:pStyle w:val="TableParagraph"/>
              <w:rPr>
                <w:sz w:val="22"/>
              </w:rPr>
            </w:pPr>
            <w:r>
              <w:rPr>
                <w:spacing w:val="-4"/>
                <w:sz w:val="22"/>
              </w:rPr>
              <w:t>54.4</w:t>
            </w:r>
          </w:p>
        </w:tc>
        <w:tc>
          <w:tcPr>
            <w:tcW w:w="1080" w:type="dxa"/>
          </w:tcPr>
          <w:p>
            <w:pPr>
              <w:pStyle w:val="TableParagraph"/>
              <w:rPr>
                <w:sz w:val="22"/>
              </w:rPr>
            </w:pPr>
            <w:r>
              <w:rPr>
                <w:spacing w:val="-4"/>
                <w:sz w:val="22"/>
              </w:rPr>
              <w:t>54.7</w:t>
            </w:r>
          </w:p>
        </w:tc>
        <w:tc>
          <w:tcPr>
            <w:tcW w:w="1075" w:type="dxa"/>
          </w:tcPr>
          <w:p>
            <w:pPr>
              <w:pStyle w:val="TableParagraph"/>
              <w:rPr>
                <w:sz w:val="22"/>
              </w:rPr>
            </w:pPr>
            <w:r>
              <w:rPr>
                <w:spacing w:val="-4"/>
                <w:sz w:val="22"/>
              </w:rPr>
              <w:t>51.6</w:t>
            </w:r>
          </w:p>
        </w:tc>
        <w:tc>
          <w:tcPr>
            <w:tcW w:w="1160" w:type="dxa"/>
          </w:tcPr>
          <w:p>
            <w:pPr>
              <w:pStyle w:val="TableParagraph"/>
              <w:ind w:right="95"/>
              <w:rPr>
                <w:sz w:val="22"/>
              </w:rPr>
            </w:pPr>
            <w:r>
              <w:rPr>
                <w:spacing w:val="-2"/>
                <w:sz w:val="22"/>
              </w:rPr>
              <w:t>-</w:t>
            </w:r>
            <w:r>
              <w:rPr>
                <w:spacing w:val="-5"/>
                <w:sz w:val="22"/>
              </w:rPr>
              <w:t>0.3</w:t>
            </w:r>
          </w:p>
        </w:tc>
        <w:tc>
          <w:tcPr>
            <w:tcW w:w="1159" w:type="dxa"/>
          </w:tcPr>
          <w:p>
            <w:pPr>
              <w:pStyle w:val="TableParagraph"/>
              <w:ind w:right="95"/>
              <w:rPr>
                <w:sz w:val="22"/>
              </w:rPr>
            </w:pPr>
            <w:r>
              <w:rPr>
                <w:spacing w:val="-5"/>
                <w:sz w:val="22"/>
              </w:rPr>
              <w:t>2.8</w:t>
            </w:r>
          </w:p>
        </w:tc>
      </w:tr>
      <w:tr>
        <w:trPr>
          <w:trHeight w:val="299" w:hRule="atLeast"/>
        </w:trPr>
        <w:tc>
          <w:tcPr>
            <w:tcW w:w="5035" w:type="dxa"/>
          </w:tcPr>
          <w:p>
            <w:pPr>
              <w:pStyle w:val="TableParagraph"/>
              <w:spacing w:line="240" w:lineRule="auto" w:before="0"/>
              <w:ind w:left="1001" w:right="0"/>
              <w:jc w:val="left"/>
              <w:rPr>
                <w:sz w:val="22"/>
              </w:rPr>
            </w:pPr>
            <w:r>
              <w:rPr>
                <w:sz w:val="22"/>
              </w:rPr>
              <w:t>Management</w:t>
            </w:r>
            <w:r>
              <w:rPr>
                <w:spacing w:val="-10"/>
                <w:sz w:val="22"/>
              </w:rPr>
              <w:t> </w:t>
            </w:r>
            <w:r>
              <w:rPr>
                <w:sz w:val="22"/>
              </w:rPr>
              <w:t>of</w:t>
            </w:r>
            <w:r>
              <w:rPr>
                <w:spacing w:val="-6"/>
                <w:sz w:val="22"/>
              </w:rPr>
              <w:t> </w:t>
            </w:r>
            <w:r>
              <w:rPr>
                <w:spacing w:val="-2"/>
                <w:sz w:val="22"/>
              </w:rPr>
              <w:t>Companies</w:t>
            </w:r>
          </w:p>
        </w:tc>
        <w:tc>
          <w:tcPr>
            <w:tcW w:w="1170" w:type="dxa"/>
          </w:tcPr>
          <w:p>
            <w:pPr>
              <w:pStyle w:val="TableParagraph"/>
              <w:rPr>
                <w:sz w:val="22"/>
              </w:rPr>
            </w:pPr>
            <w:r>
              <w:rPr>
                <w:spacing w:val="-4"/>
                <w:sz w:val="22"/>
              </w:rPr>
              <w:t>40.8</w:t>
            </w:r>
          </w:p>
        </w:tc>
        <w:tc>
          <w:tcPr>
            <w:tcW w:w="1080" w:type="dxa"/>
          </w:tcPr>
          <w:p>
            <w:pPr>
              <w:pStyle w:val="TableParagraph"/>
              <w:rPr>
                <w:sz w:val="22"/>
              </w:rPr>
            </w:pPr>
            <w:r>
              <w:rPr>
                <w:spacing w:val="-4"/>
                <w:sz w:val="22"/>
              </w:rPr>
              <w:t>40.7</w:t>
            </w:r>
          </w:p>
        </w:tc>
        <w:tc>
          <w:tcPr>
            <w:tcW w:w="1075" w:type="dxa"/>
          </w:tcPr>
          <w:p>
            <w:pPr>
              <w:pStyle w:val="TableParagraph"/>
              <w:rPr>
                <w:sz w:val="22"/>
              </w:rPr>
            </w:pPr>
            <w:r>
              <w:rPr>
                <w:spacing w:val="-4"/>
                <w:sz w:val="22"/>
              </w:rPr>
              <w:t>39.0</w:t>
            </w:r>
          </w:p>
        </w:tc>
        <w:tc>
          <w:tcPr>
            <w:tcW w:w="1160" w:type="dxa"/>
          </w:tcPr>
          <w:p>
            <w:pPr>
              <w:pStyle w:val="TableParagraph"/>
              <w:ind w:right="95"/>
              <w:rPr>
                <w:sz w:val="22"/>
              </w:rPr>
            </w:pPr>
            <w:r>
              <w:rPr>
                <w:spacing w:val="-5"/>
                <w:sz w:val="22"/>
              </w:rPr>
              <w:t>0.1</w:t>
            </w:r>
          </w:p>
        </w:tc>
        <w:tc>
          <w:tcPr>
            <w:tcW w:w="1159" w:type="dxa"/>
          </w:tcPr>
          <w:p>
            <w:pPr>
              <w:pStyle w:val="TableParagraph"/>
              <w:ind w:right="95"/>
              <w:rPr>
                <w:sz w:val="22"/>
              </w:rPr>
            </w:pPr>
            <w:r>
              <w:rPr>
                <w:spacing w:val="-5"/>
                <w:sz w:val="22"/>
              </w:rPr>
              <w:t>1.8</w:t>
            </w:r>
          </w:p>
        </w:tc>
      </w:tr>
      <w:tr>
        <w:trPr>
          <w:trHeight w:val="300" w:hRule="atLeast"/>
        </w:trPr>
        <w:tc>
          <w:tcPr>
            <w:tcW w:w="5035" w:type="dxa"/>
          </w:tcPr>
          <w:p>
            <w:pPr>
              <w:pStyle w:val="TableParagraph"/>
              <w:spacing w:line="240" w:lineRule="auto" w:before="0"/>
              <w:ind w:left="1001" w:right="0"/>
              <w:jc w:val="left"/>
              <w:rPr>
                <w:sz w:val="22"/>
              </w:rPr>
            </w:pPr>
            <w:r>
              <w:rPr>
                <w:sz w:val="22"/>
              </w:rPr>
              <w:t>Administrative</w:t>
            </w:r>
            <w:r>
              <w:rPr>
                <w:spacing w:val="-10"/>
                <w:sz w:val="22"/>
              </w:rPr>
              <w:t> </w:t>
            </w:r>
            <w:r>
              <w:rPr>
                <w:sz w:val="22"/>
              </w:rPr>
              <w:t>&amp;</w:t>
            </w:r>
            <w:r>
              <w:rPr>
                <w:spacing w:val="-10"/>
                <w:sz w:val="22"/>
              </w:rPr>
              <w:t> </w:t>
            </w:r>
            <w:r>
              <w:rPr>
                <w:sz w:val="22"/>
              </w:rPr>
              <w:t>Support</w:t>
            </w:r>
            <w:r>
              <w:rPr>
                <w:spacing w:val="-11"/>
                <w:sz w:val="22"/>
              </w:rPr>
              <w:t> </w:t>
            </w:r>
            <w:r>
              <w:rPr>
                <w:spacing w:val="-2"/>
                <w:sz w:val="22"/>
              </w:rPr>
              <w:t>Services</w:t>
            </w:r>
          </w:p>
        </w:tc>
        <w:tc>
          <w:tcPr>
            <w:tcW w:w="1170" w:type="dxa"/>
          </w:tcPr>
          <w:p>
            <w:pPr>
              <w:pStyle w:val="TableParagraph"/>
              <w:spacing w:before="32"/>
              <w:rPr>
                <w:sz w:val="22"/>
              </w:rPr>
            </w:pPr>
            <w:r>
              <w:rPr>
                <w:spacing w:val="-4"/>
                <w:sz w:val="22"/>
              </w:rPr>
              <w:t>65.4</w:t>
            </w:r>
          </w:p>
        </w:tc>
        <w:tc>
          <w:tcPr>
            <w:tcW w:w="1080" w:type="dxa"/>
          </w:tcPr>
          <w:p>
            <w:pPr>
              <w:pStyle w:val="TableParagraph"/>
              <w:spacing w:before="32"/>
              <w:rPr>
                <w:sz w:val="22"/>
              </w:rPr>
            </w:pPr>
            <w:r>
              <w:rPr>
                <w:spacing w:val="-4"/>
                <w:sz w:val="22"/>
              </w:rPr>
              <w:t>67.3</w:t>
            </w:r>
          </w:p>
        </w:tc>
        <w:tc>
          <w:tcPr>
            <w:tcW w:w="1075" w:type="dxa"/>
          </w:tcPr>
          <w:p>
            <w:pPr>
              <w:pStyle w:val="TableParagraph"/>
              <w:spacing w:before="32"/>
              <w:rPr>
                <w:sz w:val="22"/>
              </w:rPr>
            </w:pPr>
            <w:r>
              <w:rPr>
                <w:spacing w:val="-4"/>
                <w:sz w:val="22"/>
              </w:rPr>
              <w:t>69.6</w:t>
            </w:r>
          </w:p>
        </w:tc>
        <w:tc>
          <w:tcPr>
            <w:tcW w:w="1160" w:type="dxa"/>
          </w:tcPr>
          <w:p>
            <w:pPr>
              <w:pStyle w:val="TableParagraph"/>
              <w:spacing w:before="32"/>
              <w:ind w:right="95"/>
              <w:rPr>
                <w:sz w:val="22"/>
              </w:rPr>
            </w:pPr>
            <w:r>
              <w:rPr>
                <w:spacing w:val="-2"/>
                <w:sz w:val="22"/>
              </w:rPr>
              <w:t>-</w:t>
            </w:r>
            <w:r>
              <w:rPr>
                <w:spacing w:val="-5"/>
                <w:sz w:val="22"/>
              </w:rPr>
              <w:t>1.9</w:t>
            </w:r>
          </w:p>
        </w:tc>
        <w:tc>
          <w:tcPr>
            <w:tcW w:w="1159" w:type="dxa"/>
          </w:tcPr>
          <w:p>
            <w:pPr>
              <w:pStyle w:val="TableParagraph"/>
              <w:spacing w:before="32"/>
              <w:ind w:right="95"/>
              <w:rPr>
                <w:sz w:val="22"/>
              </w:rPr>
            </w:pPr>
            <w:r>
              <w:rPr>
                <w:spacing w:val="-2"/>
                <w:sz w:val="22"/>
              </w:rPr>
              <w:t>-</w:t>
            </w:r>
            <w:r>
              <w:rPr>
                <w:spacing w:val="-5"/>
                <w:sz w:val="22"/>
              </w:rPr>
              <w:t>4.2</w:t>
            </w:r>
          </w:p>
        </w:tc>
      </w:tr>
      <w:tr>
        <w:trPr>
          <w:trHeight w:val="299" w:hRule="atLeast"/>
        </w:trPr>
        <w:tc>
          <w:tcPr>
            <w:tcW w:w="5035" w:type="dxa"/>
          </w:tcPr>
          <w:p>
            <w:pPr>
              <w:pStyle w:val="TableParagraph"/>
              <w:spacing w:line="240" w:lineRule="auto" w:before="0"/>
              <w:ind w:left="604" w:right="0"/>
              <w:jc w:val="left"/>
              <w:rPr>
                <w:b/>
                <w:sz w:val="22"/>
              </w:rPr>
            </w:pPr>
            <w:r>
              <w:rPr>
                <w:b/>
                <w:sz w:val="22"/>
              </w:rPr>
              <w:t>Private</w:t>
            </w:r>
            <w:r>
              <w:rPr>
                <w:b/>
                <w:spacing w:val="-8"/>
                <w:sz w:val="22"/>
              </w:rPr>
              <w:t> </w:t>
            </w:r>
            <w:r>
              <w:rPr>
                <w:b/>
                <w:sz w:val="22"/>
              </w:rPr>
              <w:t>Education</w:t>
            </w:r>
            <w:r>
              <w:rPr>
                <w:b/>
                <w:spacing w:val="-8"/>
                <w:sz w:val="22"/>
              </w:rPr>
              <w:t> </w:t>
            </w:r>
            <w:r>
              <w:rPr>
                <w:b/>
                <w:sz w:val="22"/>
              </w:rPr>
              <w:t>&amp;</w:t>
            </w:r>
            <w:r>
              <w:rPr>
                <w:b/>
                <w:spacing w:val="-8"/>
                <w:sz w:val="22"/>
              </w:rPr>
              <w:t> </w:t>
            </w:r>
            <w:r>
              <w:rPr>
                <w:b/>
                <w:sz w:val="22"/>
              </w:rPr>
              <w:t>Health</w:t>
            </w:r>
            <w:r>
              <w:rPr>
                <w:b/>
                <w:spacing w:val="-9"/>
                <w:sz w:val="22"/>
              </w:rPr>
              <w:t> </w:t>
            </w:r>
            <w:r>
              <w:rPr>
                <w:b/>
                <w:spacing w:val="-2"/>
                <w:sz w:val="22"/>
              </w:rPr>
              <w:t>Services</w:t>
            </w:r>
          </w:p>
        </w:tc>
        <w:tc>
          <w:tcPr>
            <w:tcW w:w="1170" w:type="dxa"/>
          </w:tcPr>
          <w:p>
            <w:pPr>
              <w:pStyle w:val="TableParagraph"/>
              <w:rPr>
                <w:b/>
                <w:sz w:val="22"/>
              </w:rPr>
            </w:pPr>
            <w:r>
              <w:rPr>
                <w:b/>
                <w:spacing w:val="-2"/>
                <w:sz w:val="22"/>
              </w:rPr>
              <w:t>220.2</w:t>
            </w:r>
          </w:p>
        </w:tc>
        <w:tc>
          <w:tcPr>
            <w:tcW w:w="1080" w:type="dxa"/>
          </w:tcPr>
          <w:p>
            <w:pPr>
              <w:pStyle w:val="TableParagraph"/>
              <w:rPr>
                <w:b/>
                <w:sz w:val="22"/>
              </w:rPr>
            </w:pPr>
            <w:r>
              <w:rPr>
                <w:b/>
                <w:spacing w:val="-2"/>
                <w:sz w:val="22"/>
              </w:rPr>
              <w:t>219.1</w:t>
            </w:r>
          </w:p>
        </w:tc>
        <w:tc>
          <w:tcPr>
            <w:tcW w:w="1075" w:type="dxa"/>
          </w:tcPr>
          <w:p>
            <w:pPr>
              <w:pStyle w:val="TableParagraph"/>
              <w:ind w:right="95"/>
              <w:rPr>
                <w:b/>
                <w:sz w:val="22"/>
              </w:rPr>
            </w:pPr>
            <w:r>
              <w:rPr>
                <w:b/>
                <w:spacing w:val="-2"/>
                <w:sz w:val="22"/>
              </w:rPr>
              <w:t>212.7</w:t>
            </w:r>
          </w:p>
        </w:tc>
        <w:tc>
          <w:tcPr>
            <w:tcW w:w="1160" w:type="dxa"/>
          </w:tcPr>
          <w:p>
            <w:pPr>
              <w:pStyle w:val="TableParagraph"/>
              <w:ind w:right="95"/>
              <w:rPr>
                <w:b/>
                <w:sz w:val="22"/>
              </w:rPr>
            </w:pPr>
            <w:r>
              <w:rPr>
                <w:b/>
                <w:spacing w:val="-5"/>
                <w:sz w:val="22"/>
              </w:rPr>
              <w:t>1.1</w:t>
            </w:r>
          </w:p>
        </w:tc>
        <w:tc>
          <w:tcPr>
            <w:tcW w:w="1159" w:type="dxa"/>
          </w:tcPr>
          <w:p>
            <w:pPr>
              <w:pStyle w:val="TableParagraph"/>
              <w:ind w:right="95"/>
              <w:rPr>
                <w:b/>
                <w:sz w:val="22"/>
              </w:rPr>
            </w:pPr>
            <w:r>
              <w:rPr>
                <w:b/>
                <w:spacing w:val="-5"/>
                <w:sz w:val="22"/>
              </w:rPr>
              <w:t>7.5</w:t>
            </w:r>
          </w:p>
        </w:tc>
      </w:tr>
      <w:tr>
        <w:trPr>
          <w:trHeight w:val="299" w:hRule="atLeast"/>
        </w:trPr>
        <w:tc>
          <w:tcPr>
            <w:tcW w:w="5035" w:type="dxa"/>
          </w:tcPr>
          <w:p>
            <w:pPr>
              <w:pStyle w:val="TableParagraph"/>
              <w:spacing w:line="240" w:lineRule="auto" w:before="0"/>
              <w:ind w:left="1003" w:right="0"/>
              <w:jc w:val="left"/>
              <w:rPr>
                <w:sz w:val="22"/>
              </w:rPr>
            </w:pPr>
            <w:r>
              <w:rPr>
                <w:spacing w:val="-2"/>
                <w:sz w:val="22"/>
              </w:rPr>
              <w:t>Educational</w:t>
            </w:r>
            <w:r>
              <w:rPr>
                <w:spacing w:val="8"/>
                <w:sz w:val="22"/>
              </w:rPr>
              <w:t> </w:t>
            </w:r>
            <w:r>
              <w:rPr>
                <w:spacing w:val="-2"/>
                <w:sz w:val="22"/>
              </w:rPr>
              <w:t>Services</w:t>
            </w:r>
          </w:p>
        </w:tc>
        <w:tc>
          <w:tcPr>
            <w:tcW w:w="1170" w:type="dxa"/>
          </w:tcPr>
          <w:p>
            <w:pPr>
              <w:pStyle w:val="TableParagraph"/>
              <w:rPr>
                <w:sz w:val="22"/>
              </w:rPr>
            </w:pPr>
            <w:r>
              <w:rPr>
                <w:spacing w:val="-4"/>
                <w:sz w:val="22"/>
              </w:rPr>
              <w:t>20.2</w:t>
            </w:r>
          </w:p>
        </w:tc>
        <w:tc>
          <w:tcPr>
            <w:tcW w:w="1080" w:type="dxa"/>
          </w:tcPr>
          <w:p>
            <w:pPr>
              <w:pStyle w:val="TableParagraph"/>
              <w:rPr>
                <w:sz w:val="22"/>
              </w:rPr>
            </w:pPr>
            <w:r>
              <w:rPr>
                <w:spacing w:val="-4"/>
                <w:sz w:val="22"/>
              </w:rPr>
              <w:t>19.8</w:t>
            </w:r>
          </w:p>
        </w:tc>
        <w:tc>
          <w:tcPr>
            <w:tcW w:w="1075" w:type="dxa"/>
          </w:tcPr>
          <w:p>
            <w:pPr>
              <w:pStyle w:val="TableParagraph"/>
              <w:rPr>
                <w:sz w:val="22"/>
              </w:rPr>
            </w:pPr>
            <w:r>
              <w:rPr>
                <w:spacing w:val="-4"/>
                <w:sz w:val="22"/>
              </w:rPr>
              <w:t>19.8</w:t>
            </w:r>
          </w:p>
        </w:tc>
        <w:tc>
          <w:tcPr>
            <w:tcW w:w="1160" w:type="dxa"/>
          </w:tcPr>
          <w:p>
            <w:pPr>
              <w:pStyle w:val="TableParagraph"/>
              <w:ind w:right="95"/>
              <w:rPr>
                <w:sz w:val="22"/>
              </w:rPr>
            </w:pPr>
            <w:r>
              <w:rPr>
                <w:spacing w:val="-5"/>
                <w:sz w:val="22"/>
              </w:rPr>
              <w:t>0.4</w:t>
            </w:r>
          </w:p>
        </w:tc>
        <w:tc>
          <w:tcPr>
            <w:tcW w:w="1159" w:type="dxa"/>
          </w:tcPr>
          <w:p>
            <w:pPr>
              <w:pStyle w:val="TableParagraph"/>
              <w:ind w:right="95"/>
              <w:rPr>
                <w:sz w:val="22"/>
              </w:rPr>
            </w:pPr>
            <w:r>
              <w:rPr>
                <w:spacing w:val="-5"/>
                <w:sz w:val="22"/>
              </w:rPr>
              <w:t>0.4</w:t>
            </w:r>
          </w:p>
        </w:tc>
      </w:tr>
      <w:tr>
        <w:trPr>
          <w:trHeight w:val="300" w:hRule="atLeast"/>
        </w:trPr>
        <w:tc>
          <w:tcPr>
            <w:tcW w:w="5035" w:type="dxa"/>
          </w:tcPr>
          <w:p>
            <w:pPr>
              <w:pStyle w:val="TableParagraph"/>
              <w:spacing w:line="240" w:lineRule="auto" w:before="0"/>
              <w:ind w:left="1001" w:right="0"/>
              <w:jc w:val="left"/>
              <w:rPr>
                <w:sz w:val="22"/>
              </w:rPr>
            </w:pPr>
            <w:r>
              <w:rPr>
                <w:sz w:val="22"/>
              </w:rPr>
              <w:t>Health</w:t>
            </w:r>
            <w:r>
              <w:rPr>
                <w:spacing w:val="-6"/>
                <w:sz w:val="22"/>
              </w:rPr>
              <w:t> </w:t>
            </w:r>
            <w:r>
              <w:rPr>
                <w:sz w:val="22"/>
              </w:rPr>
              <w:t>Care</w:t>
            </w:r>
            <w:r>
              <w:rPr>
                <w:spacing w:val="-5"/>
                <w:sz w:val="22"/>
              </w:rPr>
              <w:t> </w:t>
            </w:r>
            <w:r>
              <w:rPr>
                <w:sz w:val="22"/>
              </w:rPr>
              <w:t>&amp;</w:t>
            </w:r>
            <w:r>
              <w:rPr>
                <w:spacing w:val="-5"/>
                <w:sz w:val="22"/>
              </w:rPr>
              <w:t> </w:t>
            </w:r>
            <w:r>
              <w:rPr>
                <w:sz w:val="22"/>
              </w:rPr>
              <w:t>Social</w:t>
            </w:r>
            <w:r>
              <w:rPr>
                <w:spacing w:val="-5"/>
                <w:sz w:val="22"/>
              </w:rPr>
              <w:t> </w:t>
            </w:r>
            <w:r>
              <w:rPr>
                <w:spacing w:val="-2"/>
                <w:sz w:val="22"/>
              </w:rPr>
              <w:t>Assistance</w:t>
            </w:r>
          </w:p>
        </w:tc>
        <w:tc>
          <w:tcPr>
            <w:tcW w:w="1170" w:type="dxa"/>
          </w:tcPr>
          <w:p>
            <w:pPr>
              <w:pStyle w:val="TableParagraph"/>
              <w:spacing w:before="32"/>
              <w:rPr>
                <w:sz w:val="22"/>
              </w:rPr>
            </w:pPr>
            <w:r>
              <w:rPr>
                <w:spacing w:val="-2"/>
                <w:sz w:val="22"/>
              </w:rPr>
              <w:t>200.0</w:t>
            </w:r>
          </w:p>
        </w:tc>
        <w:tc>
          <w:tcPr>
            <w:tcW w:w="1080" w:type="dxa"/>
          </w:tcPr>
          <w:p>
            <w:pPr>
              <w:pStyle w:val="TableParagraph"/>
              <w:spacing w:before="32"/>
              <w:rPr>
                <w:sz w:val="22"/>
              </w:rPr>
            </w:pPr>
            <w:r>
              <w:rPr>
                <w:spacing w:val="-2"/>
                <w:sz w:val="22"/>
              </w:rPr>
              <w:t>199.3</w:t>
            </w:r>
          </w:p>
        </w:tc>
        <w:tc>
          <w:tcPr>
            <w:tcW w:w="1075" w:type="dxa"/>
          </w:tcPr>
          <w:p>
            <w:pPr>
              <w:pStyle w:val="TableParagraph"/>
              <w:spacing w:before="32"/>
              <w:rPr>
                <w:sz w:val="22"/>
              </w:rPr>
            </w:pPr>
            <w:r>
              <w:rPr>
                <w:spacing w:val="-2"/>
                <w:sz w:val="22"/>
              </w:rPr>
              <w:t>192.9</w:t>
            </w:r>
          </w:p>
        </w:tc>
        <w:tc>
          <w:tcPr>
            <w:tcW w:w="1160" w:type="dxa"/>
          </w:tcPr>
          <w:p>
            <w:pPr>
              <w:pStyle w:val="TableParagraph"/>
              <w:spacing w:before="32"/>
              <w:ind w:right="95"/>
              <w:rPr>
                <w:sz w:val="22"/>
              </w:rPr>
            </w:pPr>
            <w:r>
              <w:rPr>
                <w:spacing w:val="-5"/>
                <w:sz w:val="22"/>
              </w:rPr>
              <w:t>0.7</w:t>
            </w:r>
          </w:p>
        </w:tc>
        <w:tc>
          <w:tcPr>
            <w:tcW w:w="1159" w:type="dxa"/>
          </w:tcPr>
          <w:p>
            <w:pPr>
              <w:pStyle w:val="TableParagraph"/>
              <w:spacing w:before="32"/>
              <w:ind w:right="95"/>
              <w:rPr>
                <w:sz w:val="22"/>
              </w:rPr>
            </w:pPr>
            <w:r>
              <w:rPr>
                <w:spacing w:val="-5"/>
                <w:sz w:val="22"/>
              </w:rPr>
              <w:t>7.1</w:t>
            </w:r>
          </w:p>
        </w:tc>
      </w:tr>
      <w:tr>
        <w:trPr>
          <w:trHeight w:val="299" w:hRule="atLeast"/>
        </w:trPr>
        <w:tc>
          <w:tcPr>
            <w:tcW w:w="5035" w:type="dxa"/>
          </w:tcPr>
          <w:p>
            <w:pPr>
              <w:pStyle w:val="TableParagraph"/>
              <w:spacing w:line="240" w:lineRule="auto" w:before="0"/>
              <w:ind w:left="1201" w:right="0"/>
              <w:jc w:val="left"/>
              <w:rPr>
                <w:sz w:val="22"/>
              </w:rPr>
            </w:pPr>
            <w:r>
              <w:rPr>
                <w:sz w:val="22"/>
              </w:rPr>
              <w:t>Ambulatory</w:t>
            </w:r>
            <w:r>
              <w:rPr>
                <w:spacing w:val="-11"/>
                <w:sz w:val="22"/>
              </w:rPr>
              <w:t> </w:t>
            </w:r>
            <w:r>
              <w:rPr>
                <w:sz w:val="22"/>
              </w:rPr>
              <w:t>Health</w:t>
            </w:r>
            <w:r>
              <w:rPr>
                <w:spacing w:val="-11"/>
                <w:sz w:val="22"/>
              </w:rPr>
              <w:t> </w:t>
            </w:r>
            <w:r>
              <w:rPr>
                <w:spacing w:val="-4"/>
                <w:sz w:val="22"/>
              </w:rPr>
              <w:t>Care</w:t>
            </w:r>
          </w:p>
        </w:tc>
        <w:tc>
          <w:tcPr>
            <w:tcW w:w="1170" w:type="dxa"/>
          </w:tcPr>
          <w:p>
            <w:pPr>
              <w:pStyle w:val="TableParagraph"/>
              <w:rPr>
                <w:sz w:val="22"/>
              </w:rPr>
            </w:pPr>
            <w:r>
              <w:rPr>
                <w:spacing w:val="-4"/>
                <w:sz w:val="22"/>
              </w:rPr>
              <w:t>69.3</w:t>
            </w:r>
          </w:p>
        </w:tc>
        <w:tc>
          <w:tcPr>
            <w:tcW w:w="1080" w:type="dxa"/>
          </w:tcPr>
          <w:p>
            <w:pPr>
              <w:pStyle w:val="TableParagraph"/>
              <w:rPr>
                <w:sz w:val="22"/>
              </w:rPr>
            </w:pPr>
            <w:r>
              <w:rPr>
                <w:spacing w:val="-4"/>
                <w:sz w:val="22"/>
              </w:rPr>
              <w:t>69.4</w:t>
            </w:r>
          </w:p>
        </w:tc>
        <w:tc>
          <w:tcPr>
            <w:tcW w:w="1075" w:type="dxa"/>
          </w:tcPr>
          <w:p>
            <w:pPr>
              <w:pStyle w:val="TableParagraph"/>
              <w:rPr>
                <w:sz w:val="22"/>
              </w:rPr>
            </w:pPr>
            <w:r>
              <w:rPr>
                <w:spacing w:val="-4"/>
                <w:sz w:val="22"/>
              </w:rPr>
              <w:t>66.8</w:t>
            </w:r>
          </w:p>
        </w:tc>
        <w:tc>
          <w:tcPr>
            <w:tcW w:w="1160" w:type="dxa"/>
          </w:tcPr>
          <w:p>
            <w:pPr>
              <w:pStyle w:val="TableParagraph"/>
              <w:ind w:right="95"/>
              <w:rPr>
                <w:sz w:val="22"/>
              </w:rPr>
            </w:pPr>
            <w:r>
              <w:rPr>
                <w:spacing w:val="-2"/>
                <w:sz w:val="22"/>
              </w:rPr>
              <w:t>-</w:t>
            </w:r>
            <w:r>
              <w:rPr>
                <w:spacing w:val="-5"/>
                <w:sz w:val="22"/>
              </w:rPr>
              <w:t>0.1</w:t>
            </w:r>
          </w:p>
        </w:tc>
        <w:tc>
          <w:tcPr>
            <w:tcW w:w="1159" w:type="dxa"/>
          </w:tcPr>
          <w:p>
            <w:pPr>
              <w:pStyle w:val="TableParagraph"/>
              <w:ind w:right="95"/>
              <w:rPr>
                <w:sz w:val="22"/>
              </w:rPr>
            </w:pPr>
            <w:r>
              <w:rPr>
                <w:spacing w:val="-5"/>
                <w:sz w:val="22"/>
              </w:rPr>
              <w:t>2.5</w:t>
            </w:r>
          </w:p>
        </w:tc>
      </w:tr>
      <w:tr>
        <w:trPr>
          <w:trHeight w:val="299" w:hRule="atLeast"/>
        </w:trPr>
        <w:tc>
          <w:tcPr>
            <w:tcW w:w="5035" w:type="dxa"/>
          </w:tcPr>
          <w:p>
            <w:pPr>
              <w:pStyle w:val="TableParagraph"/>
              <w:spacing w:line="240" w:lineRule="auto" w:before="0"/>
              <w:ind w:left="1201" w:right="0"/>
              <w:jc w:val="left"/>
              <w:rPr>
                <w:sz w:val="22"/>
              </w:rPr>
            </w:pPr>
            <w:r>
              <w:rPr>
                <w:sz w:val="22"/>
              </w:rPr>
              <w:t>Social</w:t>
            </w:r>
            <w:r>
              <w:rPr>
                <w:spacing w:val="-7"/>
                <w:sz w:val="22"/>
              </w:rPr>
              <w:t> </w:t>
            </w:r>
            <w:r>
              <w:rPr>
                <w:spacing w:val="-2"/>
                <w:sz w:val="22"/>
              </w:rPr>
              <w:t>Assistance</w:t>
            </w:r>
          </w:p>
        </w:tc>
        <w:tc>
          <w:tcPr>
            <w:tcW w:w="1170" w:type="dxa"/>
          </w:tcPr>
          <w:p>
            <w:pPr>
              <w:pStyle w:val="TableParagraph"/>
              <w:rPr>
                <w:sz w:val="22"/>
              </w:rPr>
            </w:pPr>
            <w:r>
              <w:rPr>
                <w:spacing w:val="-4"/>
                <w:sz w:val="22"/>
              </w:rPr>
              <w:t>42.5</w:t>
            </w:r>
          </w:p>
        </w:tc>
        <w:tc>
          <w:tcPr>
            <w:tcW w:w="1080" w:type="dxa"/>
          </w:tcPr>
          <w:p>
            <w:pPr>
              <w:pStyle w:val="TableParagraph"/>
              <w:rPr>
                <w:sz w:val="22"/>
              </w:rPr>
            </w:pPr>
            <w:r>
              <w:rPr>
                <w:spacing w:val="-4"/>
                <w:sz w:val="22"/>
              </w:rPr>
              <w:t>42.1</w:t>
            </w:r>
          </w:p>
        </w:tc>
        <w:tc>
          <w:tcPr>
            <w:tcW w:w="1075" w:type="dxa"/>
          </w:tcPr>
          <w:p>
            <w:pPr>
              <w:pStyle w:val="TableParagraph"/>
              <w:rPr>
                <w:sz w:val="22"/>
              </w:rPr>
            </w:pPr>
            <w:r>
              <w:rPr>
                <w:spacing w:val="-4"/>
                <w:sz w:val="22"/>
              </w:rPr>
              <w:t>40.2</w:t>
            </w:r>
          </w:p>
        </w:tc>
        <w:tc>
          <w:tcPr>
            <w:tcW w:w="1160" w:type="dxa"/>
          </w:tcPr>
          <w:p>
            <w:pPr>
              <w:pStyle w:val="TableParagraph"/>
              <w:ind w:right="95"/>
              <w:rPr>
                <w:sz w:val="22"/>
              </w:rPr>
            </w:pPr>
            <w:r>
              <w:rPr>
                <w:spacing w:val="-5"/>
                <w:sz w:val="22"/>
              </w:rPr>
              <w:t>0.4</w:t>
            </w:r>
          </w:p>
        </w:tc>
        <w:tc>
          <w:tcPr>
            <w:tcW w:w="1159" w:type="dxa"/>
          </w:tcPr>
          <w:p>
            <w:pPr>
              <w:pStyle w:val="TableParagraph"/>
              <w:ind w:right="95"/>
              <w:rPr>
                <w:sz w:val="22"/>
              </w:rPr>
            </w:pPr>
            <w:r>
              <w:rPr>
                <w:spacing w:val="-5"/>
                <w:sz w:val="22"/>
              </w:rPr>
              <w:t>2.3</w:t>
            </w:r>
          </w:p>
        </w:tc>
      </w:tr>
      <w:tr>
        <w:trPr>
          <w:trHeight w:val="300" w:hRule="atLeast"/>
        </w:trPr>
        <w:tc>
          <w:tcPr>
            <w:tcW w:w="5035" w:type="dxa"/>
          </w:tcPr>
          <w:p>
            <w:pPr>
              <w:pStyle w:val="TableParagraph"/>
              <w:spacing w:line="240" w:lineRule="auto" w:before="0"/>
              <w:ind w:left="653" w:right="0"/>
              <w:jc w:val="left"/>
              <w:rPr>
                <w:b/>
                <w:sz w:val="22"/>
              </w:rPr>
            </w:pPr>
            <w:r>
              <w:rPr>
                <w:b/>
                <w:sz w:val="22"/>
              </w:rPr>
              <w:t>Leisure</w:t>
            </w:r>
            <w:r>
              <w:rPr>
                <w:b/>
                <w:spacing w:val="-5"/>
                <w:sz w:val="22"/>
              </w:rPr>
              <w:t> </w:t>
            </w:r>
            <w:r>
              <w:rPr>
                <w:b/>
                <w:sz w:val="22"/>
              </w:rPr>
              <w:t>&amp;</w:t>
            </w:r>
            <w:r>
              <w:rPr>
                <w:b/>
                <w:spacing w:val="-4"/>
                <w:sz w:val="22"/>
              </w:rPr>
              <w:t> </w:t>
            </w:r>
            <w:r>
              <w:rPr>
                <w:b/>
                <w:spacing w:val="-2"/>
                <w:sz w:val="22"/>
              </w:rPr>
              <w:t>Hospitality</w:t>
            </w:r>
          </w:p>
        </w:tc>
        <w:tc>
          <w:tcPr>
            <w:tcW w:w="1170" w:type="dxa"/>
          </w:tcPr>
          <w:p>
            <w:pPr>
              <w:pStyle w:val="TableParagraph"/>
              <w:spacing w:before="32"/>
              <w:rPr>
                <w:b/>
                <w:sz w:val="22"/>
              </w:rPr>
            </w:pPr>
            <w:r>
              <w:rPr>
                <w:b/>
                <w:spacing w:val="-2"/>
                <w:sz w:val="22"/>
              </w:rPr>
              <w:t>128.1</w:t>
            </w:r>
          </w:p>
        </w:tc>
        <w:tc>
          <w:tcPr>
            <w:tcW w:w="1080" w:type="dxa"/>
          </w:tcPr>
          <w:p>
            <w:pPr>
              <w:pStyle w:val="TableParagraph"/>
              <w:spacing w:before="32"/>
              <w:rPr>
                <w:b/>
                <w:sz w:val="22"/>
              </w:rPr>
            </w:pPr>
            <w:r>
              <w:rPr>
                <w:b/>
                <w:spacing w:val="-2"/>
                <w:sz w:val="22"/>
              </w:rPr>
              <w:t>124.9</w:t>
            </w:r>
          </w:p>
        </w:tc>
        <w:tc>
          <w:tcPr>
            <w:tcW w:w="1075" w:type="dxa"/>
          </w:tcPr>
          <w:p>
            <w:pPr>
              <w:pStyle w:val="TableParagraph"/>
              <w:spacing w:before="32"/>
              <w:ind w:right="95"/>
              <w:rPr>
                <w:b/>
                <w:sz w:val="22"/>
              </w:rPr>
            </w:pPr>
            <w:r>
              <w:rPr>
                <w:b/>
                <w:spacing w:val="-2"/>
                <w:sz w:val="22"/>
              </w:rPr>
              <w:t>128.1</w:t>
            </w:r>
          </w:p>
        </w:tc>
        <w:tc>
          <w:tcPr>
            <w:tcW w:w="1160" w:type="dxa"/>
          </w:tcPr>
          <w:p>
            <w:pPr>
              <w:pStyle w:val="TableParagraph"/>
              <w:spacing w:before="32"/>
              <w:ind w:right="95"/>
              <w:rPr>
                <w:b/>
                <w:sz w:val="22"/>
              </w:rPr>
            </w:pPr>
            <w:r>
              <w:rPr>
                <w:b/>
                <w:spacing w:val="-5"/>
                <w:sz w:val="22"/>
              </w:rPr>
              <w:t>3.2</w:t>
            </w:r>
          </w:p>
        </w:tc>
        <w:tc>
          <w:tcPr>
            <w:tcW w:w="1159" w:type="dxa"/>
          </w:tcPr>
          <w:p>
            <w:pPr>
              <w:pStyle w:val="TableParagraph"/>
              <w:spacing w:before="32"/>
              <w:ind w:right="95"/>
              <w:rPr>
                <w:b/>
                <w:sz w:val="22"/>
              </w:rPr>
            </w:pPr>
            <w:r>
              <w:rPr>
                <w:b/>
                <w:spacing w:val="-5"/>
                <w:sz w:val="22"/>
              </w:rPr>
              <w:t>0.0</w:t>
            </w:r>
          </w:p>
        </w:tc>
      </w:tr>
      <w:tr>
        <w:trPr>
          <w:trHeight w:val="299" w:hRule="atLeast"/>
        </w:trPr>
        <w:tc>
          <w:tcPr>
            <w:tcW w:w="5035" w:type="dxa"/>
          </w:tcPr>
          <w:p>
            <w:pPr>
              <w:pStyle w:val="TableParagraph"/>
              <w:spacing w:line="240" w:lineRule="auto" w:before="0"/>
              <w:ind w:left="1052" w:right="0"/>
              <w:jc w:val="left"/>
              <w:rPr>
                <w:sz w:val="22"/>
              </w:rPr>
            </w:pPr>
            <w:r>
              <w:rPr>
                <w:sz w:val="22"/>
              </w:rPr>
              <w:t>Arts,</w:t>
            </w:r>
            <w:r>
              <w:rPr>
                <w:spacing w:val="-11"/>
                <w:sz w:val="22"/>
              </w:rPr>
              <w:t> </w:t>
            </w:r>
            <w:r>
              <w:rPr>
                <w:sz w:val="22"/>
              </w:rPr>
              <w:t>Entertainment,</w:t>
            </w:r>
            <w:r>
              <w:rPr>
                <w:spacing w:val="-10"/>
                <w:sz w:val="22"/>
              </w:rPr>
              <w:t> </w:t>
            </w:r>
            <w:r>
              <w:rPr>
                <w:sz w:val="22"/>
              </w:rPr>
              <w:t>&amp;</w:t>
            </w:r>
            <w:r>
              <w:rPr>
                <w:spacing w:val="-9"/>
                <w:sz w:val="22"/>
              </w:rPr>
              <w:t> </w:t>
            </w:r>
            <w:r>
              <w:rPr>
                <w:spacing w:val="-2"/>
                <w:sz w:val="22"/>
              </w:rPr>
              <w:t>Recreation</w:t>
            </w:r>
          </w:p>
        </w:tc>
        <w:tc>
          <w:tcPr>
            <w:tcW w:w="1170" w:type="dxa"/>
          </w:tcPr>
          <w:p>
            <w:pPr>
              <w:pStyle w:val="TableParagraph"/>
              <w:rPr>
                <w:sz w:val="22"/>
              </w:rPr>
            </w:pPr>
            <w:r>
              <w:rPr>
                <w:spacing w:val="-4"/>
                <w:sz w:val="22"/>
              </w:rPr>
              <w:t>13.4</w:t>
            </w:r>
          </w:p>
        </w:tc>
        <w:tc>
          <w:tcPr>
            <w:tcW w:w="1080" w:type="dxa"/>
          </w:tcPr>
          <w:p>
            <w:pPr>
              <w:pStyle w:val="TableParagraph"/>
              <w:rPr>
                <w:sz w:val="22"/>
              </w:rPr>
            </w:pPr>
            <w:r>
              <w:rPr>
                <w:spacing w:val="-4"/>
                <w:sz w:val="22"/>
              </w:rPr>
              <w:t>13.0</w:t>
            </w:r>
          </w:p>
        </w:tc>
        <w:tc>
          <w:tcPr>
            <w:tcW w:w="1075" w:type="dxa"/>
          </w:tcPr>
          <w:p>
            <w:pPr>
              <w:pStyle w:val="TableParagraph"/>
              <w:rPr>
                <w:sz w:val="22"/>
              </w:rPr>
            </w:pPr>
            <w:r>
              <w:rPr>
                <w:spacing w:val="-4"/>
                <w:sz w:val="22"/>
              </w:rPr>
              <w:t>13.4</w:t>
            </w:r>
          </w:p>
        </w:tc>
        <w:tc>
          <w:tcPr>
            <w:tcW w:w="1160" w:type="dxa"/>
          </w:tcPr>
          <w:p>
            <w:pPr>
              <w:pStyle w:val="TableParagraph"/>
              <w:ind w:right="95"/>
              <w:rPr>
                <w:sz w:val="22"/>
              </w:rPr>
            </w:pPr>
            <w:r>
              <w:rPr>
                <w:spacing w:val="-5"/>
                <w:sz w:val="22"/>
              </w:rPr>
              <w:t>0.4</w:t>
            </w:r>
          </w:p>
        </w:tc>
        <w:tc>
          <w:tcPr>
            <w:tcW w:w="1159" w:type="dxa"/>
          </w:tcPr>
          <w:p>
            <w:pPr>
              <w:pStyle w:val="TableParagraph"/>
              <w:ind w:right="95"/>
              <w:rPr>
                <w:sz w:val="22"/>
              </w:rPr>
            </w:pPr>
            <w:r>
              <w:rPr>
                <w:spacing w:val="-5"/>
                <w:sz w:val="22"/>
              </w:rPr>
              <w:t>0.0</w:t>
            </w:r>
          </w:p>
        </w:tc>
      </w:tr>
      <w:tr>
        <w:trPr>
          <w:trHeight w:val="299" w:hRule="atLeast"/>
        </w:trPr>
        <w:tc>
          <w:tcPr>
            <w:tcW w:w="5035" w:type="dxa"/>
          </w:tcPr>
          <w:p>
            <w:pPr>
              <w:pStyle w:val="TableParagraph"/>
              <w:spacing w:line="240" w:lineRule="auto" w:before="0"/>
              <w:ind w:left="1052" w:right="0"/>
              <w:jc w:val="left"/>
              <w:rPr>
                <w:sz w:val="22"/>
              </w:rPr>
            </w:pPr>
            <w:r>
              <w:rPr>
                <w:sz w:val="22"/>
              </w:rPr>
              <w:t>Accommodation</w:t>
            </w:r>
            <w:r>
              <w:rPr>
                <w:spacing w:val="-10"/>
                <w:sz w:val="22"/>
              </w:rPr>
              <w:t> </w:t>
            </w:r>
            <w:r>
              <w:rPr>
                <w:sz w:val="22"/>
              </w:rPr>
              <w:t>&amp;</w:t>
            </w:r>
            <w:r>
              <w:rPr>
                <w:spacing w:val="-10"/>
                <w:sz w:val="22"/>
              </w:rPr>
              <w:t> </w:t>
            </w:r>
            <w:r>
              <w:rPr>
                <w:sz w:val="22"/>
              </w:rPr>
              <w:t>Food</w:t>
            </w:r>
            <w:r>
              <w:rPr>
                <w:spacing w:val="-8"/>
                <w:sz w:val="22"/>
              </w:rPr>
              <w:t> </w:t>
            </w:r>
            <w:r>
              <w:rPr>
                <w:spacing w:val="-2"/>
                <w:sz w:val="22"/>
              </w:rPr>
              <w:t>Services</w:t>
            </w:r>
          </w:p>
        </w:tc>
        <w:tc>
          <w:tcPr>
            <w:tcW w:w="1170" w:type="dxa"/>
          </w:tcPr>
          <w:p>
            <w:pPr>
              <w:pStyle w:val="TableParagraph"/>
              <w:rPr>
                <w:sz w:val="22"/>
              </w:rPr>
            </w:pPr>
            <w:r>
              <w:rPr>
                <w:spacing w:val="-2"/>
                <w:sz w:val="22"/>
              </w:rPr>
              <w:t>114.7</w:t>
            </w:r>
          </w:p>
        </w:tc>
        <w:tc>
          <w:tcPr>
            <w:tcW w:w="1080" w:type="dxa"/>
          </w:tcPr>
          <w:p>
            <w:pPr>
              <w:pStyle w:val="TableParagraph"/>
              <w:rPr>
                <w:sz w:val="22"/>
              </w:rPr>
            </w:pPr>
            <w:r>
              <w:rPr>
                <w:spacing w:val="-2"/>
                <w:sz w:val="22"/>
              </w:rPr>
              <w:t>111.9</w:t>
            </w:r>
          </w:p>
        </w:tc>
        <w:tc>
          <w:tcPr>
            <w:tcW w:w="1075" w:type="dxa"/>
          </w:tcPr>
          <w:p>
            <w:pPr>
              <w:pStyle w:val="TableParagraph"/>
              <w:rPr>
                <w:sz w:val="22"/>
              </w:rPr>
            </w:pPr>
            <w:r>
              <w:rPr>
                <w:spacing w:val="-2"/>
                <w:sz w:val="22"/>
              </w:rPr>
              <w:t>114.7</w:t>
            </w:r>
          </w:p>
        </w:tc>
        <w:tc>
          <w:tcPr>
            <w:tcW w:w="1160" w:type="dxa"/>
          </w:tcPr>
          <w:p>
            <w:pPr>
              <w:pStyle w:val="TableParagraph"/>
              <w:ind w:right="95"/>
              <w:rPr>
                <w:sz w:val="22"/>
              </w:rPr>
            </w:pPr>
            <w:r>
              <w:rPr>
                <w:spacing w:val="-5"/>
                <w:sz w:val="22"/>
              </w:rPr>
              <w:t>2.8</w:t>
            </w:r>
          </w:p>
        </w:tc>
        <w:tc>
          <w:tcPr>
            <w:tcW w:w="1159" w:type="dxa"/>
          </w:tcPr>
          <w:p>
            <w:pPr>
              <w:pStyle w:val="TableParagraph"/>
              <w:ind w:right="95"/>
              <w:rPr>
                <w:sz w:val="22"/>
              </w:rPr>
            </w:pPr>
            <w:r>
              <w:rPr>
                <w:spacing w:val="-5"/>
                <w:sz w:val="22"/>
              </w:rPr>
              <w:t>0.0</w:t>
            </w:r>
          </w:p>
        </w:tc>
      </w:tr>
      <w:tr>
        <w:trPr>
          <w:trHeight w:val="300" w:hRule="atLeast"/>
        </w:trPr>
        <w:tc>
          <w:tcPr>
            <w:tcW w:w="5035" w:type="dxa"/>
          </w:tcPr>
          <w:p>
            <w:pPr>
              <w:pStyle w:val="TableParagraph"/>
              <w:spacing w:line="240" w:lineRule="auto" w:before="0"/>
              <w:ind w:left="1251" w:right="0"/>
              <w:jc w:val="left"/>
              <w:rPr>
                <w:sz w:val="22"/>
              </w:rPr>
            </w:pPr>
            <w:r>
              <w:rPr>
                <w:spacing w:val="-2"/>
                <w:sz w:val="22"/>
              </w:rPr>
              <w:t>Accommodation</w:t>
            </w:r>
            <w:r>
              <w:rPr>
                <w:spacing w:val="6"/>
                <w:sz w:val="22"/>
              </w:rPr>
              <w:t> </w:t>
            </w:r>
            <w:r>
              <w:rPr>
                <w:spacing w:val="-2"/>
                <w:sz w:val="22"/>
              </w:rPr>
              <w:t>Services</w:t>
            </w:r>
          </w:p>
        </w:tc>
        <w:tc>
          <w:tcPr>
            <w:tcW w:w="1170" w:type="dxa"/>
          </w:tcPr>
          <w:p>
            <w:pPr>
              <w:pStyle w:val="TableParagraph"/>
              <w:spacing w:before="32"/>
              <w:rPr>
                <w:sz w:val="22"/>
              </w:rPr>
            </w:pPr>
            <w:r>
              <w:rPr>
                <w:spacing w:val="-4"/>
                <w:sz w:val="22"/>
              </w:rPr>
              <w:t>10.9</w:t>
            </w:r>
          </w:p>
        </w:tc>
        <w:tc>
          <w:tcPr>
            <w:tcW w:w="1080" w:type="dxa"/>
          </w:tcPr>
          <w:p>
            <w:pPr>
              <w:pStyle w:val="TableParagraph"/>
              <w:spacing w:before="32"/>
              <w:rPr>
                <w:sz w:val="22"/>
              </w:rPr>
            </w:pPr>
            <w:r>
              <w:rPr>
                <w:spacing w:val="-4"/>
                <w:sz w:val="22"/>
              </w:rPr>
              <w:t>10.5</w:t>
            </w:r>
          </w:p>
        </w:tc>
        <w:tc>
          <w:tcPr>
            <w:tcW w:w="1075" w:type="dxa"/>
          </w:tcPr>
          <w:p>
            <w:pPr>
              <w:pStyle w:val="TableParagraph"/>
              <w:spacing w:before="32"/>
              <w:rPr>
                <w:sz w:val="22"/>
              </w:rPr>
            </w:pPr>
            <w:r>
              <w:rPr>
                <w:spacing w:val="-4"/>
                <w:sz w:val="22"/>
              </w:rPr>
              <w:t>11.0</w:t>
            </w:r>
          </w:p>
        </w:tc>
        <w:tc>
          <w:tcPr>
            <w:tcW w:w="1160" w:type="dxa"/>
          </w:tcPr>
          <w:p>
            <w:pPr>
              <w:pStyle w:val="TableParagraph"/>
              <w:spacing w:before="32"/>
              <w:ind w:right="95"/>
              <w:rPr>
                <w:sz w:val="22"/>
              </w:rPr>
            </w:pPr>
            <w:r>
              <w:rPr>
                <w:spacing w:val="-5"/>
                <w:sz w:val="22"/>
              </w:rPr>
              <w:t>0.4</w:t>
            </w:r>
          </w:p>
        </w:tc>
        <w:tc>
          <w:tcPr>
            <w:tcW w:w="1159" w:type="dxa"/>
          </w:tcPr>
          <w:p>
            <w:pPr>
              <w:pStyle w:val="TableParagraph"/>
              <w:spacing w:before="32"/>
              <w:ind w:right="95"/>
              <w:rPr>
                <w:sz w:val="22"/>
              </w:rPr>
            </w:pPr>
            <w:r>
              <w:rPr>
                <w:spacing w:val="-2"/>
                <w:sz w:val="22"/>
              </w:rPr>
              <w:t>-</w:t>
            </w:r>
            <w:r>
              <w:rPr>
                <w:spacing w:val="-5"/>
                <w:sz w:val="22"/>
              </w:rPr>
              <w:t>0.1</w:t>
            </w:r>
          </w:p>
        </w:tc>
      </w:tr>
      <w:tr>
        <w:trPr>
          <w:trHeight w:val="299" w:hRule="atLeast"/>
        </w:trPr>
        <w:tc>
          <w:tcPr>
            <w:tcW w:w="5035" w:type="dxa"/>
          </w:tcPr>
          <w:p>
            <w:pPr>
              <w:pStyle w:val="TableParagraph"/>
              <w:spacing w:line="240" w:lineRule="auto" w:before="0"/>
              <w:ind w:left="1251" w:right="0"/>
              <w:jc w:val="left"/>
              <w:rPr>
                <w:sz w:val="22"/>
              </w:rPr>
            </w:pPr>
            <w:r>
              <w:rPr>
                <w:sz w:val="22"/>
              </w:rPr>
              <w:t>Food</w:t>
            </w:r>
            <w:r>
              <w:rPr>
                <w:spacing w:val="-7"/>
                <w:sz w:val="22"/>
              </w:rPr>
              <w:t> </w:t>
            </w:r>
            <w:r>
              <w:rPr>
                <w:spacing w:val="-2"/>
                <w:sz w:val="22"/>
              </w:rPr>
              <w:t>Services</w:t>
            </w:r>
          </w:p>
        </w:tc>
        <w:tc>
          <w:tcPr>
            <w:tcW w:w="1170" w:type="dxa"/>
          </w:tcPr>
          <w:p>
            <w:pPr>
              <w:pStyle w:val="TableParagraph"/>
              <w:rPr>
                <w:sz w:val="22"/>
              </w:rPr>
            </w:pPr>
            <w:r>
              <w:rPr>
                <w:spacing w:val="-2"/>
                <w:sz w:val="22"/>
              </w:rPr>
              <w:t>103.8</w:t>
            </w:r>
          </w:p>
        </w:tc>
        <w:tc>
          <w:tcPr>
            <w:tcW w:w="1080" w:type="dxa"/>
          </w:tcPr>
          <w:p>
            <w:pPr>
              <w:pStyle w:val="TableParagraph"/>
              <w:rPr>
                <w:sz w:val="22"/>
              </w:rPr>
            </w:pPr>
            <w:r>
              <w:rPr>
                <w:spacing w:val="-2"/>
                <w:sz w:val="22"/>
              </w:rPr>
              <w:t>101.4</w:t>
            </w:r>
          </w:p>
        </w:tc>
        <w:tc>
          <w:tcPr>
            <w:tcW w:w="1075" w:type="dxa"/>
          </w:tcPr>
          <w:p>
            <w:pPr>
              <w:pStyle w:val="TableParagraph"/>
              <w:rPr>
                <w:sz w:val="22"/>
              </w:rPr>
            </w:pPr>
            <w:r>
              <w:rPr>
                <w:spacing w:val="-2"/>
                <w:sz w:val="22"/>
              </w:rPr>
              <w:t>103.7</w:t>
            </w:r>
          </w:p>
        </w:tc>
        <w:tc>
          <w:tcPr>
            <w:tcW w:w="1160" w:type="dxa"/>
          </w:tcPr>
          <w:p>
            <w:pPr>
              <w:pStyle w:val="TableParagraph"/>
              <w:ind w:right="95"/>
              <w:rPr>
                <w:sz w:val="22"/>
              </w:rPr>
            </w:pPr>
            <w:r>
              <w:rPr>
                <w:spacing w:val="-5"/>
                <w:sz w:val="22"/>
              </w:rPr>
              <w:t>2.4</w:t>
            </w:r>
          </w:p>
        </w:tc>
        <w:tc>
          <w:tcPr>
            <w:tcW w:w="1159" w:type="dxa"/>
          </w:tcPr>
          <w:p>
            <w:pPr>
              <w:pStyle w:val="TableParagraph"/>
              <w:ind w:right="95"/>
              <w:rPr>
                <w:sz w:val="22"/>
              </w:rPr>
            </w:pPr>
            <w:r>
              <w:rPr>
                <w:spacing w:val="-5"/>
                <w:sz w:val="22"/>
              </w:rPr>
              <w:t>0.1</w:t>
            </w:r>
          </w:p>
        </w:tc>
      </w:tr>
      <w:tr>
        <w:trPr>
          <w:trHeight w:val="299" w:hRule="atLeast"/>
        </w:trPr>
        <w:tc>
          <w:tcPr>
            <w:tcW w:w="5035" w:type="dxa"/>
          </w:tcPr>
          <w:p>
            <w:pPr>
              <w:pStyle w:val="TableParagraph"/>
              <w:spacing w:line="240" w:lineRule="auto" w:before="0"/>
              <w:ind w:left="653" w:right="0"/>
              <w:jc w:val="left"/>
              <w:rPr>
                <w:b/>
                <w:sz w:val="22"/>
              </w:rPr>
            </w:pPr>
            <w:r>
              <w:rPr>
                <w:b/>
                <w:sz w:val="22"/>
              </w:rPr>
              <w:t>Other</w:t>
            </w:r>
            <w:r>
              <w:rPr>
                <w:b/>
                <w:spacing w:val="-7"/>
                <w:sz w:val="22"/>
              </w:rPr>
              <w:t> </w:t>
            </w:r>
            <w:r>
              <w:rPr>
                <w:b/>
                <w:spacing w:val="-2"/>
                <w:sz w:val="22"/>
              </w:rPr>
              <w:t>Services</w:t>
            </w:r>
          </w:p>
        </w:tc>
        <w:tc>
          <w:tcPr>
            <w:tcW w:w="1170" w:type="dxa"/>
          </w:tcPr>
          <w:p>
            <w:pPr>
              <w:pStyle w:val="TableParagraph"/>
              <w:rPr>
                <w:b/>
                <w:sz w:val="22"/>
              </w:rPr>
            </w:pPr>
            <w:r>
              <w:rPr>
                <w:b/>
                <w:spacing w:val="-4"/>
                <w:sz w:val="22"/>
              </w:rPr>
              <w:t>65.6</w:t>
            </w:r>
          </w:p>
        </w:tc>
        <w:tc>
          <w:tcPr>
            <w:tcW w:w="1080" w:type="dxa"/>
          </w:tcPr>
          <w:p>
            <w:pPr>
              <w:pStyle w:val="TableParagraph"/>
              <w:rPr>
                <w:b/>
                <w:sz w:val="22"/>
              </w:rPr>
            </w:pPr>
            <w:r>
              <w:rPr>
                <w:b/>
                <w:spacing w:val="-4"/>
                <w:sz w:val="22"/>
              </w:rPr>
              <w:t>65.7</w:t>
            </w:r>
          </w:p>
        </w:tc>
        <w:tc>
          <w:tcPr>
            <w:tcW w:w="1075" w:type="dxa"/>
          </w:tcPr>
          <w:p>
            <w:pPr>
              <w:pStyle w:val="TableParagraph"/>
              <w:ind w:right="95"/>
              <w:rPr>
                <w:b/>
                <w:sz w:val="22"/>
              </w:rPr>
            </w:pPr>
            <w:r>
              <w:rPr>
                <w:b/>
                <w:spacing w:val="-4"/>
                <w:sz w:val="22"/>
              </w:rPr>
              <w:t>65.6</w:t>
            </w:r>
          </w:p>
        </w:tc>
        <w:tc>
          <w:tcPr>
            <w:tcW w:w="1160" w:type="dxa"/>
          </w:tcPr>
          <w:p>
            <w:pPr>
              <w:pStyle w:val="TableParagraph"/>
              <w:ind w:right="95"/>
              <w:rPr>
                <w:b/>
                <w:sz w:val="22"/>
              </w:rPr>
            </w:pPr>
            <w:r>
              <w:rPr>
                <w:b/>
                <w:spacing w:val="-2"/>
                <w:sz w:val="22"/>
              </w:rPr>
              <w:t>-</w:t>
            </w:r>
            <w:r>
              <w:rPr>
                <w:b/>
                <w:spacing w:val="-5"/>
                <w:sz w:val="22"/>
              </w:rPr>
              <w:t>0.1</w:t>
            </w:r>
          </w:p>
        </w:tc>
        <w:tc>
          <w:tcPr>
            <w:tcW w:w="1159" w:type="dxa"/>
          </w:tcPr>
          <w:p>
            <w:pPr>
              <w:pStyle w:val="TableParagraph"/>
              <w:ind w:right="95"/>
              <w:rPr>
                <w:b/>
                <w:sz w:val="22"/>
              </w:rPr>
            </w:pPr>
            <w:r>
              <w:rPr>
                <w:b/>
                <w:spacing w:val="-5"/>
                <w:sz w:val="22"/>
              </w:rPr>
              <w:t>0.0</w:t>
            </w:r>
          </w:p>
        </w:tc>
      </w:tr>
      <w:tr>
        <w:trPr>
          <w:trHeight w:val="300" w:hRule="atLeast"/>
        </w:trPr>
        <w:tc>
          <w:tcPr>
            <w:tcW w:w="5035" w:type="dxa"/>
          </w:tcPr>
          <w:p>
            <w:pPr>
              <w:pStyle w:val="TableParagraph"/>
              <w:spacing w:line="240" w:lineRule="auto" w:before="0"/>
              <w:ind w:left="653" w:right="0"/>
              <w:jc w:val="left"/>
              <w:rPr>
                <w:b/>
                <w:sz w:val="22"/>
              </w:rPr>
            </w:pPr>
            <w:r>
              <w:rPr>
                <w:b/>
                <w:spacing w:val="-2"/>
                <w:sz w:val="22"/>
              </w:rPr>
              <w:t>Government</w:t>
            </w:r>
          </w:p>
        </w:tc>
        <w:tc>
          <w:tcPr>
            <w:tcW w:w="1170" w:type="dxa"/>
          </w:tcPr>
          <w:p>
            <w:pPr>
              <w:pStyle w:val="TableParagraph"/>
              <w:spacing w:before="32"/>
              <w:rPr>
                <w:b/>
                <w:sz w:val="22"/>
              </w:rPr>
            </w:pPr>
            <w:r>
              <w:rPr>
                <w:b/>
                <w:spacing w:val="-2"/>
                <w:sz w:val="22"/>
              </w:rPr>
              <w:t>215.9</w:t>
            </w:r>
          </w:p>
        </w:tc>
        <w:tc>
          <w:tcPr>
            <w:tcW w:w="1080" w:type="dxa"/>
          </w:tcPr>
          <w:p>
            <w:pPr>
              <w:pStyle w:val="TableParagraph"/>
              <w:spacing w:before="32"/>
              <w:rPr>
                <w:b/>
                <w:sz w:val="22"/>
              </w:rPr>
            </w:pPr>
            <w:r>
              <w:rPr>
                <w:b/>
                <w:spacing w:val="-2"/>
                <w:sz w:val="22"/>
              </w:rPr>
              <w:t>215.3</w:t>
            </w:r>
          </w:p>
        </w:tc>
        <w:tc>
          <w:tcPr>
            <w:tcW w:w="1075" w:type="dxa"/>
          </w:tcPr>
          <w:p>
            <w:pPr>
              <w:pStyle w:val="TableParagraph"/>
              <w:spacing w:before="32"/>
              <w:ind w:right="95"/>
              <w:rPr>
                <w:b/>
                <w:sz w:val="22"/>
              </w:rPr>
            </w:pPr>
            <w:r>
              <w:rPr>
                <w:b/>
                <w:spacing w:val="-2"/>
                <w:sz w:val="22"/>
              </w:rPr>
              <w:t>215.7</w:t>
            </w:r>
          </w:p>
        </w:tc>
        <w:tc>
          <w:tcPr>
            <w:tcW w:w="1160" w:type="dxa"/>
          </w:tcPr>
          <w:p>
            <w:pPr>
              <w:pStyle w:val="TableParagraph"/>
              <w:spacing w:before="32"/>
              <w:ind w:right="95"/>
              <w:rPr>
                <w:b/>
                <w:sz w:val="22"/>
              </w:rPr>
            </w:pPr>
            <w:r>
              <w:rPr>
                <w:b/>
                <w:spacing w:val="-5"/>
                <w:sz w:val="22"/>
              </w:rPr>
              <w:t>0.6</w:t>
            </w:r>
          </w:p>
        </w:tc>
        <w:tc>
          <w:tcPr>
            <w:tcW w:w="1159" w:type="dxa"/>
          </w:tcPr>
          <w:p>
            <w:pPr>
              <w:pStyle w:val="TableParagraph"/>
              <w:spacing w:before="32"/>
              <w:ind w:right="95"/>
              <w:rPr>
                <w:b/>
                <w:sz w:val="22"/>
              </w:rPr>
            </w:pPr>
            <w:r>
              <w:rPr>
                <w:b/>
                <w:spacing w:val="-5"/>
                <w:sz w:val="22"/>
              </w:rPr>
              <w:t>0.2</w:t>
            </w:r>
          </w:p>
        </w:tc>
      </w:tr>
      <w:tr>
        <w:trPr>
          <w:trHeight w:val="299" w:hRule="atLeast"/>
        </w:trPr>
        <w:tc>
          <w:tcPr>
            <w:tcW w:w="5035" w:type="dxa"/>
          </w:tcPr>
          <w:p>
            <w:pPr>
              <w:pStyle w:val="TableParagraph"/>
              <w:spacing w:line="240" w:lineRule="auto" w:before="0"/>
              <w:ind w:left="1052" w:right="0"/>
              <w:jc w:val="left"/>
              <w:rPr>
                <w:sz w:val="22"/>
              </w:rPr>
            </w:pPr>
            <w:r>
              <w:rPr>
                <w:sz w:val="22"/>
              </w:rPr>
              <w:t>Federal</w:t>
            </w:r>
            <w:r>
              <w:rPr>
                <w:spacing w:val="-9"/>
                <w:sz w:val="22"/>
              </w:rPr>
              <w:t> </w:t>
            </w:r>
            <w:r>
              <w:rPr>
                <w:spacing w:val="-2"/>
                <w:sz w:val="22"/>
              </w:rPr>
              <w:t>Government</w:t>
            </w:r>
          </w:p>
        </w:tc>
        <w:tc>
          <w:tcPr>
            <w:tcW w:w="1170" w:type="dxa"/>
          </w:tcPr>
          <w:p>
            <w:pPr>
              <w:pStyle w:val="TableParagraph"/>
              <w:rPr>
                <w:sz w:val="22"/>
              </w:rPr>
            </w:pPr>
            <w:r>
              <w:rPr>
                <w:spacing w:val="-4"/>
                <w:sz w:val="22"/>
              </w:rPr>
              <w:t>21.8</w:t>
            </w:r>
          </w:p>
        </w:tc>
        <w:tc>
          <w:tcPr>
            <w:tcW w:w="1080" w:type="dxa"/>
          </w:tcPr>
          <w:p>
            <w:pPr>
              <w:pStyle w:val="TableParagraph"/>
              <w:rPr>
                <w:sz w:val="22"/>
              </w:rPr>
            </w:pPr>
            <w:r>
              <w:rPr>
                <w:spacing w:val="-4"/>
                <w:sz w:val="22"/>
              </w:rPr>
              <w:t>21.8</w:t>
            </w:r>
          </w:p>
        </w:tc>
        <w:tc>
          <w:tcPr>
            <w:tcW w:w="1075" w:type="dxa"/>
          </w:tcPr>
          <w:p>
            <w:pPr>
              <w:pStyle w:val="TableParagraph"/>
              <w:rPr>
                <w:sz w:val="22"/>
              </w:rPr>
            </w:pPr>
            <w:r>
              <w:rPr>
                <w:spacing w:val="-4"/>
                <w:sz w:val="22"/>
              </w:rPr>
              <w:t>21.9</w:t>
            </w:r>
          </w:p>
        </w:tc>
        <w:tc>
          <w:tcPr>
            <w:tcW w:w="1160" w:type="dxa"/>
          </w:tcPr>
          <w:p>
            <w:pPr>
              <w:pStyle w:val="TableParagraph"/>
              <w:ind w:right="95"/>
              <w:rPr>
                <w:sz w:val="22"/>
              </w:rPr>
            </w:pPr>
            <w:r>
              <w:rPr>
                <w:spacing w:val="-5"/>
                <w:sz w:val="22"/>
              </w:rPr>
              <w:t>0.0</w:t>
            </w:r>
          </w:p>
        </w:tc>
        <w:tc>
          <w:tcPr>
            <w:tcW w:w="1159" w:type="dxa"/>
          </w:tcPr>
          <w:p>
            <w:pPr>
              <w:pStyle w:val="TableParagraph"/>
              <w:ind w:right="95"/>
              <w:rPr>
                <w:sz w:val="22"/>
              </w:rPr>
            </w:pPr>
            <w:r>
              <w:rPr>
                <w:spacing w:val="-2"/>
                <w:sz w:val="22"/>
              </w:rPr>
              <w:t>-</w:t>
            </w:r>
            <w:r>
              <w:rPr>
                <w:spacing w:val="-5"/>
                <w:sz w:val="22"/>
              </w:rPr>
              <w:t>0.1</w:t>
            </w:r>
          </w:p>
        </w:tc>
      </w:tr>
      <w:tr>
        <w:trPr>
          <w:trHeight w:val="299" w:hRule="atLeast"/>
        </w:trPr>
        <w:tc>
          <w:tcPr>
            <w:tcW w:w="5035" w:type="dxa"/>
          </w:tcPr>
          <w:p>
            <w:pPr>
              <w:pStyle w:val="TableParagraph"/>
              <w:spacing w:line="240" w:lineRule="auto" w:before="0"/>
              <w:ind w:left="1052" w:right="0"/>
              <w:jc w:val="left"/>
              <w:rPr>
                <w:sz w:val="22"/>
              </w:rPr>
            </w:pPr>
            <w:r>
              <w:rPr>
                <w:sz w:val="22"/>
              </w:rPr>
              <w:t>State</w:t>
            </w:r>
            <w:r>
              <w:rPr>
                <w:spacing w:val="-7"/>
                <w:sz w:val="22"/>
              </w:rPr>
              <w:t> </w:t>
            </w:r>
            <w:r>
              <w:rPr>
                <w:spacing w:val="-2"/>
                <w:sz w:val="22"/>
              </w:rPr>
              <w:t>Government</w:t>
            </w:r>
          </w:p>
        </w:tc>
        <w:tc>
          <w:tcPr>
            <w:tcW w:w="1170" w:type="dxa"/>
          </w:tcPr>
          <w:p>
            <w:pPr>
              <w:pStyle w:val="TableParagraph"/>
              <w:rPr>
                <w:sz w:val="22"/>
              </w:rPr>
            </w:pPr>
            <w:r>
              <w:rPr>
                <w:spacing w:val="-4"/>
                <w:sz w:val="22"/>
              </w:rPr>
              <w:t>78.2</w:t>
            </w:r>
          </w:p>
        </w:tc>
        <w:tc>
          <w:tcPr>
            <w:tcW w:w="1080" w:type="dxa"/>
          </w:tcPr>
          <w:p>
            <w:pPr>
              <w:pStyle w:val="TableParagraph"/>
              <w:rPr>
                <w:sz w:val="22"/>
              </w:rPr>
            </w:pPr>
            <w:r>
              <w:rPr>
                <w:spacing w:val="-4"/>
                <w:sz w:val="22"/>
              </w:rPr>
              <w:t>77.9</w:t>
            </w:r>
          </w:p>
        </w:tc>
        <w:tc>
          <w:tcPr>
            <w:tcW w:w="1075" w:type="dxa"/>
          </w:tcPr>
          <w:p>
            <w:pPr>
              <w:pStyle w:val="TableParagraph"/>
              <w:rPr>
                <w:sz w:val="22"/>
              </w:rPr>
            </w:pPr>
            <w:r>
              <w:rPr>
                <w:spacing w:val="-4"/>
                <w:sz w:val="22"/>
              </w:rPr>
              <w:t>78.2</w:t>
            </w:r>
          </w:p>
        </w:tc>
        <w:tc>
          <w:tcPr>
            <w:tcW w:w="1160" w:type="dxa"/>
          </w:tcPr>
          <w:p>
            <w:pPr>
              <w:pStyle w:val="TableParagraph"/>
              <w:ind w:right="95"/>
              <w:rPr>
                <w:sz w:val="22"/>
              </w:rPr>
            </w:pPr>
            <w:r>
              <w:rPr>
                <w:spacing w:val="-5"/>
                <w:sz w:val="22"/>
              </w:rPr>
              <w:t>0.3</w:t>
            </w:r>
          </w:p>
        </w:tc>
        <w:tc>
          <w:tcPr>
            <w:tcW w:w="1159" w:type="dxa"/>
          </w:tcPr>
          <w:p>
            <w:pPr>
              <w:pStyle w:val="TableParagraph"/>
              <w:ind w:right="95"/>
              <w:rPr>
                <w:sz w:val="22"/>
              </w:rPr>
            </w:pPr>
            <w:r>
              <w:rPr>
                <w:spacing w:val="-5"/>
                <w:sz w:val="22"/>
              </w:rPr>
              <w:t>0.0</w:t>
            </w:r>
          </w:p>
        </w:tc>
      </w:tr>
      <w:tr>
        <w:trPr>
          <w:trHeight w:val="300" w:hRule="atLeast"/>
        </w:trPr>
        <w:tc>
          <w:tcPr>
            <w:tcW w:w="5035" w:type="dxa"/>
          </w:tcPr>
          <w:p>
            <w:pPr>
              <w:pStyle w:val="TableParagraph"/>
              <w:spacing w:line="240" w:lineRule="auto" w:before="0"/>
              <w:ind w:right="201"/>
              <w:rPr>
                <w:sz w:val="22"/>
              </w:rPr>
            </w:pPr>
            <w:r>
              <w:rPr>
                <w:sz w:val="22"/>
              </w:rPr>
              <w:t>State</w:t>
            </w:r>
            <w:r>
              <w:rPr>
                <w:spacing w:val="-12"/>
                <w:sz w:val="22"/>
              </w:rPr>
              <w:t> </w:t>
            </w:r>
            <w:r>
              <w:rPr>
                <w:sz w:val="22"/>
              </w:rPr>
              <w:t>Government,</w:t>
            </w:r>
            <w:r>
              <w:rPr>
                <w:spacing w:val="-11"/>
                <w:sz w:val="22"/>
              </w:rPr>
              <w:t> </w:t>
            </w:r>
            <w:r>
              <w:rPr>
                <w:sz w:val="22"/>
              </w:rPr>
              <w:t>Educational</w:t>
            </w:r>
            <w:r>
              <w:rPr>
                <w:spacing w:val="-12"/>
                <w:sz w:val="22"/>
              </w:rPr>
              <w:t> </w:t>
            </w:r>
            <w:r>
              <w:rPr>
                <w:spacing w:val="-2"/>
                <w:sz w:val="22"/>
              </w:rPr>
              <w:t>Services</w:t>
            </w:r>
          </w:p>
        </w:tc>
        <w:tc>
          <w:tcPr>
            <w:tcW w:w="1170" w:type="dxa"/>
          </w:tcPr>
          <w:p>
            <w:pPr>
              <w:pStyle w:val="TableParagraph"/>
              <w:spacing w:before="32"/>
              <w:rPr>
                <w:sz w:val="22"/>
              </w:rPr>
            </w:pPr>
            <w:r>
              <w:rPr>
                <w:spacing w:val="-4"/>
                <w:sz w:val="22"/>
              </w:rPr>
              <w:t>32.2</w:t>
            </w:r>
          </w:p>
        </w:tc>
        <w:tc>
          <w:tcPr>
            <w:tcW w:w="1080" w:type="dxa"/>
          </w:tcPr>
          <w:p>
            <w:pPr>
              <w:pStyle w:val="TableParagraph"/>
              <w:spacing w:before="32"/>
              <w:rPr>
                <w:sz w:val="22"/>
              </w:rPr>
            </w:pPr>
            <w:r>
              <w:rPr>
                <w:spacing w:val="-4"/>
                <w:sz w:val="22"/>
              </w:rPr>
              <w:t>31.9</w:t>
            </w:r>
          </w:p>
        </w:tc>
        <w:tc>
          <w:tcPr>
            <w:tcW w:w="1075" w:type="dxa"/>
          </w:tcPr>
          <w:p>
            <w:pPr>
              <w:pStyle w:val="TableParagraph"/>
              <w:spacing w:before="32"/>
              <w:rPr>
                <w:sz w:val="22"/>
              </w:rPr>
            </w:pPr>
            <w:r>
              <w:rPr>
                <w:spacing w:val="-4"/>
                <w:sz w:val="22"/>
              </w:rPr>
              <w:t>32.1</w:t>
            </w:r>
          </w:p>
        </w:tc>
        <w:tc>
          <w:tcPr>
            <w:tcW w:w="1160" w:type="dxa"/>
          </w:tcPr>
          <w:p>
            <w:pPr>
              <w:pStyle w:val="TableParagraph"/>
              <w:spacing w:before="32"/>
              <w:ind w:right="95"/>
              <w:rPr>
                <w:sz w:val="22"/>
              </w:rPr>
            </w:pPr>
            <w:r>
              <w:rPr>
                <w:spacing w:val="-5"/>
                <w:sz w:val="22"/>
              </w:rPr>
              <w:t>0.3</w:t>
            </w:r>
          </w:p>
        </w:tc>
        <w:tc>
          <w:tcPr>
            <w:tcW w:w="1159" w:type="dxa"/>
          </w:tcPr>
          <w:p>
            <w:pPr>
              <w:pStyle w:val="TableParagraph"/>
              <w:spacing w:before="32"/>
              <w:ind w:right="95"/>
              <w:rPr>
                <w:sz w:val="22"/>
              </w:rPr>
            </w:pPr>
            <w:r>
              <w:rPr>
                <w:spacing w:val="-5"/>
                <w:sz w:val="22"/>
              </w:rPr>
              <w:t>0.1</w:t>
            </w:r>
          </w:p>
        </w:tc>
      </w:tr>
      <w:tr>
        <w:trPr>
          <w:trHeight w:val="299" w:hRule="atLeast"/>
        </w:trPr>
        <w:tc>
          <w:tcPr>
            <w:tcW w:w="5035" w:type="dxa"/>
          </w:tcPr>
          <w:p>
            <w:pPr>
              <w:pStyle w:val="TableParagraph"/>
              <w:spacing w:line="240" w:lineRule="auto" w:before="0"/>
              <w:ind w:right="235"/>
              <w:rPr>
                <w:sz w:val="22"/>
              </w:rPr>
            </w:pPr>
            <w:r>
              <w:rPr>
                <w:sz w:val="22"/>
              </w:rPr>
              <w:t>State</w:t>
            </w:r>
            <w:r>
              <w:rPr>
                <w:spacing w:val="-12"/>
                <w:sz w:val="22"/>
              </w:rPr>
              <w:t> </w:t>
            </w:r>
            <w:r>
              <w:rPr>
                <w:sz w:val="22"/>
              </w:rPr>
              <w:t>Government,</w:t>
            </w:r>
            <w:r>
              <w:rPr>
                <w:spacing w:val="-11"/>
                <w:sz w:val="22"/>
              </w:rPr>
              <w:t> </w:t>
            </w:r>
            <w:r>
              <w:rPr>
                <w:sz w:val="22"/>
              </w:rPr>
              <w:t>Excluding</w:t>
            </w:r>
            <w:r>
              <w:rPr>
                <w:spacing w:val="-11"/>
                <w:sz w:val="22"/>
              </w:rPr>
              <w:t> </w:t>
            </w:r>
            <w:r>
              <w:rPr>
                <w:spacing w:val="-2"/>
                <w:sz w:val="22"/>
              </w:rPr>
              <w:t>Education</w:t>
            </w:r>
          </w:p>
        </w:tc>
        <w:tc>
          <w:tcPr>
            <w:tcW w:w="1170" w:type="dxa"/>
          </w:tcPr>
          <w:p>
            <w:pPr>
              <w:pStyle w:val="TableParagraph"/>
              <w:rPr>
                <w:sz w:val="22"/>
              </w:rPr>
            </w:pPr>
            <w:r>
              <w:rPr>
                <w:spacing w:val="-4"/>
                <w:sz w:val="22"/>
              </w:rPr>
              <w:t>46.0</w:t>
            </w:r>
          </w:p>
        </w:tc>
        <w:tc>
          <w:tcPr>
            <w:tcW w:w="1080" w:type="dxa"/>
          </w:tcPr>
          <w:p>
            <w:pPr>
              <w:pStyle w:val="TableParagraph"/>
              <w:rPr>
                <w:sz w:val="22"/>
              </w:rPr>
            </w:pPr>
            <w:r>
              <w:rPr>
                <w:spacing w:val="-4"/>
                <w:sz w:val="22"/>
              </w:rPr>
              <w:t>46.0</w:t>
            </w:r>
          </w:p>
        </w:tc>
        <w:tc>
          <w:tcPr>
            <w:tcW w:w="1075" w:type="dxa"/>
          </w:tcPr>
          <w:p>
            <w:pPr>
              <w:pStyle w:val="TableParagraph"/>
              <w:rPr>
                <w:sz w:val="22"/>
              </w:rPr>
            </w:pPr>
            <w:r>
              <w:rPr>
                <w:spacing w:val="-4"/>
                <w:sz w:val="22"/>
              </w:rPr>
              <w:t>46.1</w:t>
            </w:r>
          </w:p>
        </w:tc>
        <w:tc>
          <w:tcPr>
            <w:tcW w:w="1160" w:type="dxa"/>
          </w:tcPr>
          <w:p>
            <w:pPr>
              <w:pStyle w:val="TableParagraph"/>
              <w:ind w:right="95"/>
              <w:rPr>
                <w:sz w:val="22"/>
              </w:rPr>
            </w:pPr>
            <w:r>
              <w:rPr>
                <w:spacing w:val="-5"/>
                <w:sz w:val="22"/>
              </w:rPr>
              <w:t>0.0</w:t>
            </w:r>
          </w:p>
        </w:tc>
        <w:tc>
          <w:tcPr>
            <w:tcW w:w="1159" w:type="dxa"/>
          </w:tcPr>
          <w:p>
            <w:pPr>
              <w:pStyle w:val="TableParagraph"/>
              <w:ind w:right="95"/>
              <w:rPr>
                <w:sz w:val="22"/>
              </w:rPr>
            </w:pPr>
            <w:r>
              <w:rPr>
                <w:spacing w:val="-2"/>
                <w:sz w:val="22"/>
              </w:rPr>
              <w:t>-</w:t>
            </w:r>
            <w:r>
              <w:rPr>
                <w:spacing w:val="-5"/>
                <w:sz w:val="22"/>
              </w:rPr>
              <w:t>0.1</w:t>
            </w:r>
          </w:p>
        </w:tc>
      </w:tr>
      <w:tr>
        <w:trPr>
          <w:trHeight w:val="299" w:hRule="atLeast"/>
        </w:trPr>
        <w:tc>
          <w:tcPr>
            <w:tcW w:w="5035" w:type="dxa"/>
          </w:tcPr>
          <w:p>
            <w:pPr>
              <w:pStyle w:val="TableParagraph"/>
              <w:spacing w:line="240" w:lineRule="auto" w:before="0"/>
              <w:ind w:left="1052" w:right="0"/>
              <w:jc w:val="left"/>
              <w:rPr>
                <w:sz w:val="22"/>
              </w:rPr>
            </w:pPr>
            <w:r>
              <w:rPr>
                <w:sz w:val="22"/>
              </w:rPr>
              <w:t>Local</w:t>
            </w:r>
            <w:r>
              <w:rPr>
                <w:spacing w:val="-6"/>
                <w:sz w:val="22"/>
              </w:rPr>
              <w:t> </w:t>
            </w:r>
            <w:r>
              <w:rPr>
                <w:spacing w:val="-2"/>
                <w:sz w:val="22"/>
              </w:rPr>
              <w:t>Government</w:t>
            </w:r>
          </w:p>
        </w:tc>
        <w:tc>
          <w:tcPr>
            <w:tcW w:w="1170" w:type="dxa"/>
          </w:tcPr>
          <w:p>
            <w:pPr>
              <w:pStyle w:val="TableParagraph"/>
              <w:rPr>
                <w:sz w:val="22"/>
              </w:rPr>
            </w:pPr>
            <w:r>
              <w:rPr>
                <w:spacing w:val="-2"/>
                <w:sz w:val="22"/>
              </w:rPr>
              <w:t>115.9</w:t>
            </w:r>
          </w:p>
        </w:tc>
        <w:tc>
          <w:tcPr>
            <w:tcW w:w="1080" w:type="dxa"/>
          </w:tcPr>
          <w:p>
            <w:pPr>
              <w:pStyle w:val="TableParagraph"/>
              <w:rPr>
                <w:sz w:val="22"/>
              </w:rPr>
            </w:pPr>
            <w:r>
              <w:rPr>
                <w:spacing w:val="-2"/>
                <w:sz w:val="22"/>
              </w:rPr>
              <w:t>115.6</w:t>
            </w:r>
          </w:p>
        </w:tc>
        <w:tc>
          <w:tcPr>
            <w:tcW w:w="1075" w:type="dxa"/>
          </w:tcPr>
          <w:p>
            <w:pPr>
              <w:pStyle w:val="TableParagraph"/>
              <w:rPr>
                <w:sz w:val="22"/>
              </w:rPr>
            </w:pPr>
            <w:r>
              <w:rPr>
                <w:spacing w:val="-2"/>
                <w:sz w:val="22"/>
              </w:rPr>
              <w:t>115.6</w:t>
            </w:r>
          </w:p>
        </w:tc>
        <w:tc>
          <w:tcPr>
            <w:tcW w:w="1160" w:type="dxa"/>
          </w:tcPr>
          <w:p>
            <w:pPr>
              <w:pStyle w:val="TableParagraph"/>
              <w:ind w:right="95"/>
              <w:rPr>
                <w:sz w:val="22"/>
              </w:rPr>
            </w:pPr>
            <w:r>
              <w:rPr>
                <w:spacing w:val="-5"/>
                <w:sz w:val="22"/>
              </w:rPr>
              <w:t>0.3</w:t>
            </w:r>
          </w:p>
        </w:tc>
        <w:tc>
          <w:tcPr>
            <w:tcW w:w="1159" w:type="dxa"/>
          </w:tcPr>
          <w:p>
            <w:pPr>
              <w:pStyle w:val="TableParagraph"/>
              <w:ind w:right="95"/>
              <w:rPr>
                <w:sz w:val="22"/>
              </w:rPr>
            </w:pPr>
            <w:r>
              <w:rPr>
                <w:spacing w:val="-5"/>
                <w:sz w:val="22"/>
              </w:rPr>
              <w:t>0.3</w:t>
            </w:r>
          </w:p>
        </w:tc>
      </w:tr>
      <w:tr>
        <w:trPr>
          <w:trHeight w:val="300" w:hRule="atLeast"/>
        </w:trPr>
        <w:tc>
          <w:tcPr>
            <w:tcW w:w="5035" w:type="dxa"/>
          </w:tcPr>
          <w:p>
            <w:pPr>
              <w:pStyle w:val="TableParagraph"/>
              <w:spacing w:line="240" w:lineRule="auto" w:before="0"/>
              <w:ind w:right="207"/>
              <w:rPr>
                <w:sz w:val="22"/>
              </w:rPr>
            </w:pPr>
            <w:r>
              <w:rPr>
                <w:sz w:val="22"/>
              </w:rPr>
              <w:t>Local</w:t>
            </w:r>
            <w:r>
              <w:rPr>
                <w:spacing w:val="-13"/>
                <w:sz w:val="22"/>
              </w:rPr>
              <w:t> </w:t>
            </w:r>
            <w:r>
              <w:rPr>
                <w:sz w:val="22"/>
              </w:rPr>
              <w:t>Government,</w:t>
            </w:r>
            <w:r>
              <w:rPr>
                <w:spacing w:val="-10"/>
                <w:sz w:val="22"/>
              </w:rPr>
              <w:t> </w:t>
            </w:r>
            <w:r>
              <w:rPr>
                <w:sz w:val="22"/>
              </w:rPr>
              <w:t>Educational</w:t>
            </w:r>
            <w:r>
              <w:rPr>
                <w:spacing w:val="-12"/>
                <w:sz w:val="22"/>
              </w:rPr>
              <w:t> </w:t>
            </w:r>
            <w:r>
              <w:rPr>
                <w:spacing w:val="-2"/>
                <w:sz w:val="22"/>
              </w:rPr>
              <w:t>Services</w:t>
            </w:r>
          </w:p>
        </w:tc>
        <w:tc>
          <w:tcPr>
            <w:tcW w:w="1170" w:type="dxa"/>
          </w:tcPr>
          <w:p>
            <w:pPr>
              <w:pStyle w:val="TableParagraph"/>
              <w:spacing w:before="32"/>
              <w:rPr>
                <w:sz w:val="22"/>
              </w:rPr>
            </w:pPr>
            <w:r>
              <w:rPr>
                <w:spacing w:val="-4"/>
                <w:sz w:val="22"/>
              </w:rPr>
              <w:t>70.9</w:t>
            </w:r>
          </w:p>
        </w:tc>
        <w:tc>
          <w:tcPr>
            <w:tcW w:w="1080" w:type="dxa"/>
          </w:tcPr>
          <w:p>
            <w:pPr>
              <w:pStyle w:val="TableParagraph"/>
              <w:spacing w:before="32"/>
              <w:rPr>
                <w:sz w:val="22"/>
              </w:rPr>
            </w:pPr>
            <w:r>
              <w:rPr>
                <w:spacing w:val="-4"/>
                <w:sz w:val="22"/>
              </w:rPr>
              <w:t>70.9</w:t>
            </w:r>
          </w:p>
        </w:tc>
        <w:tc>
          <w:tcPr>
            <w:tcW w:w="1075" w:type="dxa"/>
          </w:tcPr>
          <w:p>
            <w:pPr>
              <w:pStyle w:val="TableParagraph"/>
              <w:spacing w:before="32"/>
              <w:rPr>
                <w:sz w:val="22"/>
              </w:rPr>
            </w:pPr>
            <w:r>
              <w:rPr>
                <w:spacing w:val="-4"/>
                <w:sz w:val="22"/>
              </w:rPr>
              <w:t>70.3</w:t>
            </w:r>
          </w:p>
        </w:tc>
        <w:tc>
          <w:tcPr>
            <w:tcW w:w="1160" w:type="dxa"/>
          </w:tcPr>
          <w:p>
            <w:pPr>
              <w:pStyle w:val="TableParagraph"/>
              <w:spacing w:before="32"/>
              <w:ind w:right="95"/>
              <w:rPr>
                <w:sz w:val="22"/>
              </w:rPr>
            </w:pPr>
            <w:r>
              <w:rPr>
                <w:spacing w:val="-5"/>
                <w:sz w:val="22"/>
              </w:rPr>
              <w:t>0.0</w:t>
            </w:r>
          </w:p>
        </w:tc>
        <w:tc>
          <w:tcPr>
            <w:tcW w:w="1159" w:type="dxa"/>
          </w:tcPr>
          <w:p>
            <w:pPr>
              <w:pStyle w:val="TableParagraph"/>
              <w:spacing w:before="32"/>
              <w:ind w:right="95"/>
              <w:rPr>
                <w:sz w:val="22"/>
              </w:rPr>
            </w:pPr>
            <w:r>
              <w:rPr>
                <w:spacing w:val="-5"/>
                <w:sz w:val="22"/>
              </w:rPr>
              <w:t>0.6</w:t>
            </w:r>
          </w:p>
        </w:tc>
      </w:tr>
      <w:tr>
        <w:trPr>
          <w:trHeight w:val="299" w:hRule="atLeast"/>
        </w:trPr>
        <w:tc>
          <w:tcPr>
            <w:tcW w:w="5035" w:type="dxa"/>
          </w:tcPr>
          <w:p>
            <w:pPr>
              <w:pStyle w:val="TableParagraph"/>
              <w:spacing w:line="240" w:lineRule="auto" w:before="0"/>
              <w:ind w:right="241"/>
              <w:rPr>
                <w:sz w:val="22"/>
              </w:rPr>
            </w:pPr>
            <w:r>
              <w:rPr>
                <w:sz w:val="22"/>
              </w:rPr>
              <w:t>Local</w:t>
            </w:r>
            <w:r>
              <w:rPr>
                <w:spacing w:val="-12"/>
                <w:sz w:val="22"/>
              </w:rPr>
              <w:t> </w:t>
            </w:r>
            <w:r>
              <w:rPr>
                <w:sz w:val="22"/>
              </w:rPr>
              <w:t>Government,</w:t>
            </w:r>
            <w:r>
              <w:rPr>
                <w:spacing w:val="-10"/>
                <w:sz w:val="22"/>
              </w:rPr>
              <w:t> </w:t>
            </w:r>
            <w:r>
              <w:rPr>
                <w:sz w:val="22"/>
              </w:rPr>
              <w:t>Excluding</w:t>
            </w:r>
            <w:r>
              <w:rPr>
                <w:spacing w:val="-11"/>
                <w:sz w:val="22"/>
              </w:rPr>
              <w:t> </w:t>
            </w:r>
            <w:r>
              <w:rPr>
                <w:spacing w:val="-2"/>
                <w:sz w:val="22"/>
              </w:rPr>
              <w:t>Education</w:t>
            </w:r>
          </w:p>
        </w:tc>
        <w:tc>
          <w:tcPr>
            <w:tcW w:w="1170" w:type="dxa"/>
          </w:tcPr>
          <w:p>
            <w:pPr>
              <w:pStyle w:val="TableParagraph"/>
              <w:rPr>
                <w:sz w:val="22"/>
              </w:rPr>
            </w:pPr>
            <w:r>
              <w:rPr>
                <w:spacing w:val="-4"/>
                <w:sz w:val="22"/>
              </w:rPr>
              <w:t>45.0</w:t>
            </w:r>
          </w:p>
        </w:tc>
        <w:tc>
          <w:tcPr>
            <w:tcW w:w="1080" w:type="dxa"/>
          </w:tcPr>
          <w:p>
            <w:pPr>
              <w:pStyle w:val="TableParagraph"/>
              <w:rPr>
                <w:sz w:val="22"/>
              </w:rPr>
            </w:pPr>
            <w:r>
              <w:rPr>
                <w:spacing w:val="-4"/>
                <w:sz w:val="22"/>
              </w:rPr>
              <w:t>44.7</w:t>
            </w:r>
          </w:p>
        </w:tc>
        <w:tc>
          <w:tcPr>
            <w:tcW w:w="1075" w:type="dxa"/>
          </w:tcPr>
          <w:p>
            <w:pPr>
              <w:pStyle w:val="TableParagraph"/>
              <w:rPr>
                <w:sz w:val="22"/>
              </w:rPr>
            </w:pPr>
            <w:r>
              <w:rPr>
                <w:spacing w:val="-4"/>
                <w:sz w:val="22"/>
              </w:rPr>
              <w:t>45.3</w:t>
            </w:r>
          </w:p>
        </w:tc>
        <w:tc>
          <w:tcPr>
            <w:tcW w:w="1160" w:type="dxa"/>
          </w:tcPr>
          <w:p>
            <w:pPr>
              <w:pStyle w:val="TableParagraph"/>
              <w:ind w:right="95"/>
              <w:rPr>
                <w:sz w:val="22"/>
              </w:rPr>
            </w:pPr>
            <w:r>
              <w:rPr>
                <w:spacing w:val="-5"/>
                <w:sz w:val="22"/>
              </w:rPr>
              <w:t>0.3</w:t>
            </w:r>
          </w:p>
        </w:tc>
        <w:tc>
          <w:tcPr>
            <w:tcW w:w="1159" w:type="dxa"/>
          </w:tcPr>
          <w:p>
            <w:pPr>
              <w:pStyle w:val="TableParagraph"/>
              <w:ind w:right="95"/>
              <w:rPr>
                <w:sz w:val="22"/>
              </w:rPr>
            </w:pPr>
            <w:r>
              <w:rPr>
                <w:spacing w:val="-2"/>
                <w:sz w:val="22"/>
              </w:rPr>
              <w:t>-</w:t>
            </w:r>
            <w:r>
              <w:rPr>
                <w:spacing w:val="-5"/>
                <w:sz w:val="22"/>
              </w:rPr>
              <w:t>0.3</w:t>
            </w:r>
          </w:p>
        </w:tc>
      </w:tr>
    </w:tbl>
    <w:p>
      <w:pPr>
        <w:tabs>
          <w:tab w:pos="5373" w:val="left" w:leader="none"/>
        </w:tabs>
        <w:spacing w:before="125"/>
        <w:ind w:left="0" w:right="90" w:firstLine="0"/>
        <w:jc w:val="center"/>
        <w:rPr>
          <w:sz w:val="16"/>
        </w:rPr>
      </w:pPr>
      <w:r>
        <w:rPr>
          <w:sz w:val="16"/>
        </w:rPr>
        <w:t>Source</w:t>
      </w:r>
      <w:r>
        <w:rPr>
          <w:b/>
          <w:sz w:val="16"/>
        </w:rPr>
        <w:t>:</w:t>
      </w:r>
      <w:r>
        <w:rPr>
          <w:b/>
          <w:spacing w:val="71"/>
          <w:w w:val="150"/>
          <w:sz w:val="16"/>
        </w:rPr>
        <w:t> </w:t>
      </w:r>
      <w:r>
        <w:rPr>
          <w:sz w:val="16"/>
        </w:rPr>
        <w:t>Monthly</w:t>
      </w:r>
      <w:r>
        <w:rPr>
          <w:spacing w:val="-5"/>
          <w:sz w:val="16"/>
        </w:rPr>
        <w:t> </w:t>
      </w:r>
      <w:r>
        <w:rPr>
          <w:sz w:val="16"/>
        </w:rPr>
        <w:t>Survey</w:t>
      </w:r>
      <w:r>
        <w:rPr>
          <w:spacing w:val="-6"/>
          <w:sz w:val="16"/>
        </w:rPr>
        <w:t> </w:t>
      </w:r>
      <w:r>
        <w:rPr>
          <w:sz w:val="16"/>
        </w:rPr>
        <w:t>of</w:t>
      </w:r>
      <w:r>
        <w:rPr>
          <w:spacing w:val="-4"/>
          <w:sz w:val="16"/>
        </w:rPr>
        <w:t> </w:t>
      </w:r>
      <w:r>
        <w:rPr>
          <w:sz w:val="16"/>
        </w:rPr>
        <w:t>Employers,</w:t>
      </w:r>
      <w:r>
        <w:rPr>
          <w:spacing w:val="-5"/>
          <w:sz w:val="16"/>
        </w:rPr>
        <w:t> </w:t>
      </w:r>
      <w:r>
        <w:rPr>
          <w:sz w:val="16"/>
        </w:rPr>
        <w:t>based</w:t>
      </w:r>
      <w:r>
        <w:rPr>
          <w:spacing w:val="-4"/>
          <w:sz w:val="16"/>
        </w:rPr>
        <w:t> </w:t>
      </w:r>
      <w:r>
        <w:rPr>
          <w:sz w:val="16"/>
        </w:rPr>
        <w:t>on</w:t>
      </w:r>
      <w:r>
        <w:rPr>
          <w:spacing w:val="-3"/>
          <w:sz w:val="16"/>
        </w:rPr>
        <w:t> </w:t>
      </w:r>
      <w:r>
        <w:rPr>
          <w:sz w:val="16"/>
        </w:rPr>
        <w:t>1</w:t>
      </w:r>
      <w:r>
        <w:rPr>
          <w:sz w:val="16"/>
          <w:vertAlign w:val="superscript"/>
        </w:rPr>
        <w:t>st</w:t>
      </w:r>
      <w:r>
        <w:rPr>
          <w:spacing w:val="-5"/>
          <w:sz w:val="16"/>
          <w:vertAlign w:val="baseline"/>
        </w:rPr>
        <w:t> </w:t>
      </w:r>
      <w:r>
        <w:rPr>
          <w:sz w:val="16"/>
          <w:vertAlign w:val="baseline"/>
        </w:rPr>
        <w:t>Quarter</w:t>
      </w:r>
      <w:r>
        <w:rPr>
          <w:spacing w:val="-4"/>
          <w:sz w:val="16"/>
          <w:vertAlign w:val="baseline"/>
        </w:rPr>
        <w:t> </w:t>
      </w:r>
      <w:r>
        <w:rPr>
          <w:sz w:val="16"/>
          <w:vertAlign w:val="baseline"/>
        </w:rPr>
        <w:t>2024</w:t>
      </w:r>
      <w:r>
        <w:rPr>
          <w:spacing w:val="-5"/>
          <w:sz w:val="16"/>
          <w:vertAlign w:val="baseline"/>
        </w:rPr>
        <w:t> </w:t>
      </w:r>
      <w:r>
        <w:rPr>
          <w:spacing w:val="-2"/>
          <w:sz w:val="16"/>
          <w:vertAlign w:val="baseline"/>
        </w:rPr>
        <w:t>benchmark.</w:t>
      </w:r>
      <w:r>
        <w:rPr>
          <w:sz w:val="16"/>
          <w:vertAlign w:val="baseline"/>
        </w:rPr>
        <w:tab/>
        <w:t>Notes:</w:t>
      </w:r>
      <w:r>
        <w:rPr>
          <w:spacing w:val="71"/>
          <w:w w:val="150"/>
          <w:sz w:val="16"/>
          <w:vertAlign w:val="baseline"/>
        </w:rPr>
        <w:t> </w:t>
      </w:r>
      <w:r>
        <w:rPr>
          <w:sz w:val="16"/>
          <w:vertAlign w:val="baseline"/>
        </w:rPr>
        <w:t>Current</w:t>
      </w:r>
      <w:r>
        <w:rPr>
          <w:spacing w:val="-4"/>
          <w:sz w:val="16"/>
          <w:vertAlign w:val="baseline"/>
        </w:rPr>
        <w:t> </w:t>
      </w:r>
      <w:r>
        <w:rPr>
          <w:sz w:val="16"/>
          <w:vertAlign w:val="baseline"/>
        </w:rPr>
        <w:t>month’s</w:t>
      </w:r>
      <w:r>
        <w:rPr>
          <w:spacing w:val="-5"/>
          <w:sz w:val="16"/>
          <w:vertAlign w:val="baseline"/>
        </w:rPr>
        <w:t> </w:t>
      </w:r>
      <w:r>
        <w:rPr>
          <w:sz w:val="16"/>
          <w:vertAlign w:val="baseline"/>
        </w:rPr>
        <w:t>data</w:t>
      </w:r>
      <w:r>
        <w:rPr>
          <w:spacing w:val="-5"/>
          <w:sz w:val="16"/>
          <w:vertAlign w:val="baseline"/>
        </w:rPr>
        <w:t> </w:t>
      </w:r>
      <w:r>
        <w:rPr>
          <w:sz w:val="16"/>
          <w:vertAlign w:val="baseline"/>
        </w:rPr>
        <w:t>are</w:t>
      </w:r>
      <w:r>
        <w:rPr>
          <w:spacing w:val="-5"/>
          <w:sz w:val="16"/>
          <w:vertAlign w:val="baseline"/>
        </w:rPr>
        <w:t> </w:t>
      </w:r>
      <w:r>
        <w:rPr>
          <w:sz w:val="16"/>
          <w:vertAlign w:val="baseline"/>
        </w:rPr>
        <w:t>preliminary;</w:t>
      </w:r>
      <w:r>
        <w:rPr>
          <w:spacing w:val="-5"/>
          <w:sz w:val="16"/>
          <w:vertAlign w:val="baseline"/>
        </w:rPr>
        <w:t> </w:t>
      </w:r>
      <w:r>
        <w:rPr>
          <w:sz w:val="16"/>
          <w:vertAlign w:val="baseline"/>
        </w:rPr>
        <w:t>previous</w:t>
      </w:r>
      <w:r>
        <w:rPr>
          <w:spacing w:val="-4"/>
          <w:sz w:val="16"/>
          <w:vertAlign w:val="baseline"/>
        </w:rPr>
        <w:t> </w:t>
      </w:r>
      <w:r>
        <w:rPr>
          <w:sz w:val="16"/>
          <w:vertAlign w:val="baseline"/>
        </w:rPr>
        <w:t>month’s</w:t>
      </w:r>
      <w:r>
        <w:rPr>
          <w:spacing w:val="-6"/>
          <w:sz w:val="16"/>
          <w:vertAlign w:val="baseline"/>
        </w:rPr>
        <w:t> </w:t>
      </w:r>
      <w:r>
        <w:rPr>
          <w:sz w:val="16"/>
          <w:vertAlign w:val="baseline"/>
        </w:rPr>
        <w:t>data</w:t>
      </w:r>
      <w:r>
        <w:rPr>
          <w:spacing w:val="-4"/>
          <w:sz w:val="16"/>
          <w:vertAlign w:val="baseline"/>
        </w:rPr>
        <w:t> </w:t>
      </w:r>
      <w:r>
        <w:rPr>
          <w:sz w:val="16"/>
          <w:vertAlign w:val="baseline"/>
        </w:rPr>
        <w:t>are</w:t>
      </w:r>
      <w:r>
        <w:rPr>
          <w:spacing w:val="-6"/>
          <w:sz w:val="16"/>
          <w:vertAlign w:val="baseline"/>
        </w:rPr>
        <w:t> </w:t>
      </w:r>
      <w:r>
        <w:rPr>
          <w:spacing w:val="-2"/>
          <w:sz w:val="16"/>
          <w:vertAlign w:val="baseline"/>
        </w:rPr>
        <w:t>revised.</w:t>
      </w:r>
    </w:p>
    <w:p>
      <w:pPr>
        <w:spacing w:after="0"/>
        <w:jc w:val="center"/>
        <w:rPr>
          <w:sz w:val="16"/>
        </w:rPr>
        <w:sectPr>
          <w:pgSz w:w="12240" w:h="15840"/>
          <w:pgMar w:top="680" w:bottom="280" w:left="600" w:right="600"/>
        </w:sectPr>
      </w:pPr>
    </w:p>
    <w:p>
      <w:pPr>
        <w:pStyle w:val="Heading1"/>
        <w:spacing w:line="259" w:lineRule="auto" w:before="39"/>
        <w:ind w:left="3154" w:right="3152" w:hanging="1"/>
      </w:pPr>
      <w:r>
        <w:rPr/>
        <w:t>Seasonally Adjusted Unemployment Rates Arkansas</w:t>
      </w:r>
      <w:r>
        <w:rPr>
          <w:spacing w:val="-7"/>
        </w:rPr>
        <w:t> </w:t>
      </w:r>
      <w:r>
        <w:rPr/>
        <w:t>vs.</w:t>
      </w:r>
      <w:r>
        <w:rPr>
          <w:spacing w:val="-8"/>
        </w:rPr>
        <w:t> </w:t>
      </w:r>
      <w:r>
        <w:rPr/>
        <w:t>United</w:t>
      </w:r>
      <w:r>
        <w:rPr>
          <w:spacing w:val="-8"/>
        </w:rPr>
        <w:t> </w:t>
      </w:r>
      <w:r>
        <w:rPr/>
        <w:t>States</w:t>
      </w:r>
      <w:r>
        <w:rPr>
          <w:spacing w:val="-7"/>
        </w:rPr>
        <w:t> </w:t>
      </w:r>
      <w:r>
        <w:rPr/>
        <w:t>(3-Year</w:t>
      </w:r>
      <w:r>
        <w:rPr>
          <w:spacing w:val="-7"/>
        </w:rPr>
        <w:t> </w:t>
      </w:r>
      <w:r>
        <w:rPr/>
        <w:t>Comparison)</w:t>
      </w:r>
    </w:p>
    <w:p>
      <w:pPr>
        <w:pStyle w:val="BodyText"/>
        <w:spacing w:before="8"/>
        <w:rPr>
          <w:b/>
          <w:sz w:val="6"/>
        </w:rPr>
      </w:pPr>
      <w:r>
        <w:rPr/>
        <w:drawing>
          <wp:anchor distT="0" distB="0" distL="0" distR="0" allowOverlap="1" layoutInCell="1" locked="0" behindDoc="1" simplePos="0" relativeHeight="487587840">
            <wp:simplePos x="0" y="0"/>
            <wp:positionH relativeFrom="page">
              <wp:posOffset>895350</wp:posOffset>
            </wp:positionH>
            <wp:positionV relativeFrom="paragraph">
              <wp:posOffset>67429</wp:posOffset>
            </wp:positionV>
            <wp:extent cx="5974417" cy="3834384"/>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8" cstate="print"/>
                    <a:stretch>
                      <a:fillRect/>
                    </a:stretch>
                  </pic:blipFill>
                  <pic:spPr>
                    <a:xfrm>
                      <a:off x="0" y="0"/>
                      <a:ext cx="5974417" cy="3834384"/>
                    </a:xfrm>
                    <a:prstGeom prst="rect">
                      <a:avLst/>
                    </a:prstGeom>
                  </pic:spPr>
                </pic:pic>
              </a:graphicData>
            </a:graphic>
          </wp:anchor>
        </w:drawing>
      </w:r>
    </w:p>
    <w:p>
      <w:pPr>
        <w:pStyle w:val="BodyText"/>
        <w:spacing w:before="43"/>
        <w:rPr>
          <w:b/>
        </w:rPr>
      </w:pPr>
    </w:p>
    <w:p>
      <w:pPr>
        <w:spacing w:line="259" w:lineRule="auto" w:before="0"/>
        <w:ind w:left="2859" w:right="2744" w:firstLine="506"/>
        <w:jc w:val="left"/>
        <w:rPr>
          <w:b/>
          <w:sz w:val="24"/>
        </w:rPr>
      </w:pPr>
      <w:r>
        <w:rPr>
          <w:b/>
          <w:sz w:val="24"/>
        </w:rPr>
        <w:t>Job Gains/Losses by Major Industry Sectors March</w:t>
      </w:r>
      <w:r>
        <w:rPr>
          <w:b/>
          <w:spacing w:val="-7"/>
          <w:sz w:val="24"/>
        </w:rPr>
        <w:t> </w:t>
      </w:r>
      <w:r>
        <w:rPr>
          <w:b/>
          <w:sz w:val="24"/>
        </w:rPr>
        <w:t>2024</w:t>
      </w:r>
      <w:r>
        <w:rPr>
          <w:b/>
          <w:spacing w:val="-6"/>
          <w:sz w:val="24"/>
        </w:rPr>
        <w:t> </w:t>
      </w:r>
      <w:r>
        <w:rPr>
          <w:b/>
          <w:sz w:val="24"/>
        </w:rPr>
        <w:t>to</w:t>
      </w:r>
      <w:r>
        <w:rPr>
          <w:b/>
          <w:spacing w:val="-6"/>
          <w:sz w:val="24"/>
        </w:rPr>
        <w:t> </w:t>
      </w:r>
      <w:r>
        <w:rPr>
          <w:b/>
          <w:sz w:val="24"/>
        </w:rPr>
        <w:t>March</w:t>
      </w:r>
      <w:r>
        <w:rPr>
          <w:b/>
          <w:spacing w:val="-7"/>
          <w:sz w:val="24"/>
        </w:rPr>
        <w:t> </w:t>
      </w:r>
      <w:r>
        <w:rPr>
          <w:b/>
          <w:sz w:val="24"/>
        </w:rPr>
        <w:t>2025</w:t>
      </w:r>
      <w:r>
        <w:rPr>
          <w:b/>
          <w:spacing w:val="-6"/>
          <w:sz w:val="24"/>
        </w:rPr>
        <w:t> </w:t>
      </w:r>
      <w:r>
        <w:rPr>
          <w:b/>
          <w:sz w:val="24"/>
        </w:rPr>
        <w:t>(Not</w:t>
      </w:r>
      <w:r>
        <w:rPr>
          <w:b/>
          <w:spacing w:val="-7"/>
          <w:sz w:val="24"/>
        </w:rPr>
        <w:t> </w:t>
      </w:r>
      <w:r>
        <w:rPr>
          <w:b/>
          <w:sz w:val="24"/>
        </w:rPr>
        <w:t>Seasonally</w:t>
      </w:r>
      <w:r>
        <w:rPr>
          <w:b/>
          <w:spacing w:val="-6"/>
          <w:sz w:val="24"/>
        </w:rPr>
        <w:t> </w:t>
      </w:r>
      <w:r>
        <w:rPr>
          <w:b/>
          <w:sz w:val="24"/>
        </w:rPr>
        <w:t>Adjusted)</w:t>
      </w:r>
    </w:p>
    <w:p>
      <w:pPr>
        <w:pStyle w:val="BodyText"/>
        <w:spacing w:before="9"/>
        <w:rPr>
          <w:b/>
          <w:sz w:val="6"/>
        </w:rPr>
      </w:pPr>
      <w:r>
        <w:rPr/>
        <w:drawing>
          <wp:anchor distT="0" distB="0" distL="0" distR="0" allowOverlap="1" layoutInCell="1" locked="0" behindDoc="1" simplePos="0" relativeHeight="487588352">
            <wp:simplePos x="0" y="0"/>
            <wp:positionH relativeFrom="page">
              <wp:posOffset>895350</wp:posOffset>
            </wp:positionH>
            <wp:positionV relativeFrom="paragraph">
              <wp:posOffset>67729</wp:posOffset>
            </wp:positionV>
            <wp:extent cx="5962482" cy="3846195"/>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9" cstate="print"/>
                    <a:stretch>
                      <a:fillRect/>
                    </a:stretch>
                  </pic:blipFill>
                  <pic:spPr>
                    <a:xfrm>
                      <a:off x="0" y="0"/>
                      <a:ext cx="5962482" cy="3846195"/>
                    </a:xfrm>
                    <a:prstGeom prst="rect">
                      <a:avLst/>
                    </a:prstGeom>
                  </pic:spPr>
                </pic:pic>
              </a:graphicData>
            </a:graphic>
          </wp:anchor>
        </w:drawing>
      </w:r>
    </w:p>
    <w:p>
      <w:pPr>
        <w:pStyle w:val="BodyText"/>
        <w:spacing w:before="14"/>
        <w:rPr>
          <w:b/>
        </w:rPr>
      </w:pPr>
    </w:p>
    <w:p>
      <w:pPr>
        <w:pStyle w:val="BodyText"/>
        <w:ind w:left="91" w:right="90"/>
        <w:jc w:val="center"/>
      </w:pPr>
      <w:r>
        <w:rPr/>
        <w:t>For</w:t>
      </w:r>
      <w:r>
        <w:rPr>
          <w:spacing w:val="-4"/>
        </w:rPr>
        <w:t> </w:t>
      </w:r>
      <w:r>
        <w:rPr/>
        <w:t>more</w:t>
      </w:r>
      <w:r>
        <w:rPr>
          <w:spacing w:val="-1"/>
        </w:rPr>
        <w:t> </w:t>
      </w:r>
      <w:r>
        <w:rPr/>
        <w:t>Labor</w:t>
      </w:r>
      <w:r>
        <w:rPr>
          <w:spacing w:val="-2"/>
        </w:rPr>
        <w:t> </w:t>
      </w:r>
      <w:r>
        <w:rPr/>
        <w:t>Market</w:t>
      </w:r>
      <w:r>
        <w:rPr>
          <w:spacing w:val="-2"/>
        </w:rPr>
        <w:t> </w:t>
      </w:r>
      <w:r>
        <w:rPr/>
        <w:t>Data,</w:t>
      </w:r>
      <w:r>
        <w:rPr>
          <w:spacing w:val="-3"/>
        </w:rPr>
        <w:t> </w:t>
      </w:r>
      <w:r>
        <w:rPr/>
        <w:t>visit</w:t>
      </w:r>
      <w:r>
        <w:rPr>
          <w:spacing w:val="-2"/>
        </w:rPr>
        <w:t> </w:t>
      </w:r>
      <w:r>
        <w:rPr/>
        <w:t>our</w:t>
      </w:r>
      <w:r>
        <w:rPr>
          <w:spacing w:val="-2"/>
        </w:rPr>
        <w:t> </w:t>
      </w:r>
      <w:r>
        <w:rPr/>
        <w:t>website</w:t>
      </w:r>
      <w:r>
        <w:rPr>
          <w:spacing w:val="-1"/>
        </w:rPr>
        <w:t> </w:t>
      </w:r>
      <w:r>
        <w:rPr/>
        <w:t>at</w:t>
      </w:r>
      <w:r>
        <w:rPr>
          <w:spacing w:val="-2"/>
        </w:rPr>
        <w:t> </w:t>
      </w:r>
      <w:hyperlink r:id="rId10">
        <w:r>
          <w:rPr>
            <w:color w:val="0000FF"/>
            <w:spacing w:val="-2"/>
            <w:u w:val="single" w:color="0000FF"/>
          </w:rPr>
          <w:t>www.discover.arkansas.gov</w:t>
        </w:r>
      </w:hyperlink>
    </w:p>
    <w:p>
      <w:pPr>
        <w:spacing w:after="0"/>
        <w:jc w:val="center"/>
        <w:sectPr>
          <w:pgSz w:w="12240" w:h="15840"/>
          <w:pgMar w:top="680" w:bottom="280" w:left="600" w:right="600"/>
        </w:sectPr>
      </w:pPr>
    </w:p>
    <w:p>
      <w:pPr>
        <w:spacing w:before="37"/>
        <w:ind w:left="2999" w:right="0" w:firstLine="0"/>
        <w:jc w:val="both"/>
        <w:rPr>
          <w:b/>
          <w:sz w:val="22"/>
        </w:rPr>
      </w:pPr>
      <w:r>
        <w:rPr/>
        <w:drawing>
          <wp:anchor distT="0" distB="0" distL="0" distR="0" allowOverlap="1" layoutInCell="1" locked="0" behindDoc="0" simplePos="0" relativeHeight="15730176">
            <wp:simplePos x="0" y="0"/>
            <wp:positionH relativeFrom="page">
              <wp:posOffset>920046</wp:posOffset>
            </wp:positionH>
            <wp:positionV relativeFrom="paragraph">
              <wp:posOffset>104843</wp:posOffset>
            </wp:positionV>
            <wp:extent cx="932971" cy="931440"/>
            <wp:effectExtent l="0" t="0" r="0" b="0"/>
            <wp:wrapNone/>
            <wp:docPr id="4" name="Image 4" descr="Logo  Description automatically generated "/>
            <wp:cNvGraphicFramePr>
              <a:graphicFrameLocks/>
            </wp:cNvGraphicFramePr>
            <a:graphic>
              <a:graphicData uri="http://schemas.openxmlformats.org/drawingml/2006/picture">
                <pic:pic>
                  <pic:nvPicPr>
                    <pic:cNvPr id="4" name="Image 4" descr="Logo  Description automatically generated "/>
                    <pic:cNvPicPr/>
                  </pic:nvPicPr>
                  <pic:blipFill>
                    <a:blip r:embed="rId11" cstate="print"/>
                    <a:stretch>
                      <a:fillRect/>
                    </a:stretch>
                  </pic:blipFill>
                  <pic:spPr>
                    <a:xfrm>
                      <a:off x="0" y="0"/>
                      <a:ext cx="932971" cy="931440"/>
                    </a:xfrm>
                    <a:prstGeom prst="rect">
                      <a:avLst/>
                    </a:prstGeom>
                  </pic:spPr>
                </pic:pic>
              </a:graphicData>
            </a:graphic>
          </wp:anchor>
        </w:drawing>
      </w:r>
      <w:r>
        <w:rPr>
          <w:b/>
          <w:sz w:val="22"/>
        </w:rPr>
        <w:t>About</w:t>
      </w:r>
      <w:r>
        <w:rPr>
          <w:b/>
          <w:spacing w:val="-8"/>
          <w:sz w:val="22"/>
        </w:rPr>
        <w:t> </w:t>
      </w:r>
      <w:r>
        <w:rPr>
          <w:b/>
          <w:sz w:val="22"/>
        </w:rPr>
        <w:t>the</w:t>
      </w:r>
      <w:r>
        <w:rPr>
          <w:b/>
          <w:spacing w:val="-9"/>
          <w:sz w:val="22"/>
        </w:rPr>
        <w:t> </w:t>
      </w:r>
      <w:r>
        <w:rPr>
          <w:b/>
          <w:sz w:val="22"/>
        </w:rPr>
        <w:t>Arkansas</w:t>
      </w:r>
      <w:r>
        <w:rPr>
          <w:b/>
          <w:spacing w:val="-8"/>
          <w:sz w:val="22"/>
        </w:rPr>
        <w:t> </w:t>
      </w:r>
      <w:r>
        <w:rPr>
          <w:b/>
          <w:sz w:val="22"/>
        </w:rPr>
        <w:t>Department</w:t>
      </w:r>
      <w:r>
        <w:rPr>
          <w:b/>
          <w:spacing w:val="-8"/>
          <w:sz w:val="22"/>
        </w:rPr>
        <w:t> </w:t>
      </w:r>
      <w:r>
        <w:rPr>
          <w:b/>
          <w:sz w:val="22"/>
        </w:rPr>
        <w:t>of</w:t>
      </w:r>
      <w:r>
        <w:rPr>
          <w:b/>
          <w:spacing w:val="-8"/>
          <w:sz w:val="22"/>
        </w:rPr>
        <w:t> </w:t>
      </w:r>
      <w:r>
        <w:rPr>
          <w:b/>
          <w:spacing w:val="-2"/>
          <w:sz w:val="22"/>
        </w:rPr>
        <w:t>Commerce</w:t>
      </w:r>
    </w:p>
    <w:p>
      <w:pPr>
        <w:spacing w:before="0"/>
        <w:ind w:left="2999" w:right="837" w:firstLine="0"/>
        <w:jc w:val="both"/>
        <w:rPr>
          <w:sz w:val="22"/>
        </w:rPr>
      </w:pPr>
      <w:r>
        <w:rPr>
          <w:sz w:val="22"/>
        </w:rPr>
        <w:t>The Arkansas Department of Commerce is the umbrella department for workforce</w:t>
      </w:r>
      <w:r>
        <w:rPr>
          <w:spacing w:val="-13"/>
          <w:sz w:val="22"/>
        </w:rPr>
        <w:t> </w:t>
      </w:r>
      <w:r>
        <w:rPr>
          <w:sz w:val="22"/>
        </w:rPr>
        <w:t>and</w:t>
      </w:r>
      <w:r>
        <w:rPr>
          <w:spacing w:val="-12"/>
          <w:sz w:val="22"/>
        </w:rPr>
        <w:t> </w:t>
      </w:r>
      <w:r>
        <w:rPr>
          <w:sz w:val="22"/>
        </w:rPr>
        <w:t>economic</w:t>
      </w:r>
      <w:r>
        <w:rPr>
          <w:spacing w:val="-13"/>
          <w:sz w:val="22"/>
        </w:rPr>
        <w:t> </w:t>
      </w:r>
      <w:r>
        <w:rPr>
          <w:sz w:val="22"/>
        </w:rPr>
        <w:t>development</w:t>
      </w:r>
      <w:r>
        <w:rPr>
          <w:spacing w:val="-12"/>
          <w:sz w:val="22"/>
        </w:rPr>
        <w:t> </w:t>
      </w:r>
      <w:r>
        <w:rPr>
          <w:sz w:val="22"/>
        </w:rPr>
        <w:t>drivers.</w:t>
      </w:r>
      <w:r>
        <w:rPr>
          <w:spacing w:val="-13"/>
          <w:sz w:val="22"/>
        </w:rPr>
        <w:t> </w:t>
      </w:r>
      <w:r>
        <w:rPr>
          <w:sz w:val="22"/>
        </w:rPr>
        <w:t>Its</w:t>
      </w:r>
      <w:r>
        <w:rPr>
          <w:spacing w:val="-12"/>
          <w:sz w:val="22"/>
        </w:rPr>
        <w:t> </w:t>
      </w:r>
      <w:r>
        <w:rPr>
          <w:sz w:val="22"/>
        </w:rPr>
        <w:t>divisions</w:t>
      </w:r>
      <w:r>
        <w:rPr>
          <w:spacing w:val="-13"/>
          <w:sz w:val="22"/>
        </w:rPr>
        <w:t> </w:t>
      </w:r>
      <w:r>
        <w:rPr>
          <w:sz w:val="22"/>
        </w:rPr>
        <w:t>and</w:t>
      </w:r>
      <w:r>
        <w:rPr>
          <w:spacing w:val="-12"/>
          <w:sz w:val="22"/>
        </w:rPr>
        <w:t> </w:t>
      </w:r>
      <w:r>
        <w:rPr>
          <w:sz w:val="22"/>
        </w:rPr>
        <w:t>regulatory</w:t>
      </w:r>
      <w:r>
        <w:rPr>
          <w:spacing w:val="-12"/>
          <w:sz w:val="22"/>
        </w:rPr>
        <w:t> </w:t>
      </w:r>
      <w:r>
        <w:rPr>
          <w:sz w:val="22"/>
        </w:rPr>
        <w:t>boards include the Division of Aeronautics, Waterways Commission, Wine Producers Council, Workforce Services, State Bank Department, Insurance Department, Securities Department, Economic Development Commission, and Development Finance Authority.</w:t>
      </w:r>
    </w:p>
    <w:p>
      <w:pPr>
        <w:pStyle w:val="BodyText"/>
        <w:rPr>
          <w:sz w:val="20"/>
        </w:rPr>
      </w:pPr>
    </w:p>
    <w:p>
      <w:pPr>
        <w:pStyle w:val="BodyText"/>
        <w:spacing w:before="146"/>
        <w:rPr>
          <w:sz w:val="20"/>
        </w:rPr>
      </w:pPr>
      <w:r>
        <w:rPr/>
        <w:drawing>
          <wp:anchor distT="0" distB="0" distL="0" distR="0" allowOverlap="1" layoutInCell="1" locked="0" behindDoc="1" simplePos="0" relativeHeight="487588864">
            <wp:simplePos x="0" y="0"/>
            <wp:positionH relativeFrom="page">
              <wp:posOffset>912567</wp:posOffset>
            </wp:positionH>
            <wp:positionV relativeFrom="paragraph">
              <wp:posOffset>263371</wp:posOffset>
            </wp:positionV>
            <wp:extent cx="1996947" cy="335279"/>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12" cstate="print"/>
                    <a:stretch>
                      <a:fillRect/>
                    </a:stretch>
                  </pic:blipFill>
                  <pic:spPr>
                    <a:xfrm>
                      <a:off x="0" y="0"/>
                      <a:ext cx="1996947" cy="335279"/>
                    </a:xfrm>
                    <a:prstGeom prst="rect">
                      <a:avLst/>
                    </a:prstGeom>
                  </pic:spPr>
                </pic:pic>
              </a:graphicData>
            </a:graphic>
          </wp:anchor>
        </w:drawing>
      </w:r>
    </w:p>
    <w:p>
      <w:pPr>
        <w:spacing w:before="156"/>
        <w:ind w:left="840" w:right="0" w:firstLine="0"/>
        <w:jc w:val="both"/>
        <w:rPr>
          <w:b/>
          <w:sz w:val="22"/>
        </w:rPr>
      </w:pPr>
      <w:r>
        <w:rPr>
          <w:b/>
          <w:sz w:val="22"/>
        </w:rPr>
        <w:t>About</w:t>
      </w:r>
      <w:r>
        <w:rPr>
          <w:b/>
          <w:spacing w:val="-9"/>
          <w:sz w:val="22"/>
        </w:rPr>
        <w:t> </w:t>
      </w:r>
      <w:r>
        <w:rPr>
          <w:b/>
          <w:sz w:val="22"/>
        </w:rPr>
        <w:t>Bureau</w:t>
      </w:r>
      <w:r>
        <w:rPr>
          <w:b/>
          <w:spacing w:val="-9"/>
          <w:sz w:val="22"/>
        </w:rPr>
        <w:t> </w:t>
      </w:r>
      <w:r>
        <w:rPr>
          <w:b/>
          <w:sz w:val="22"/>
        </w:rPr>
        <w:t>of</w:t>
      </w:r>
      <w:r>
        <w:rPr>
          <w:b/>
          <w:spacing w:val="-7"/>
          <w:sz w:val="22"/>
        </w:rPr>
        <w:t> </w:t>
      </w:r>
      <w:r>
        <w:rPr>
          <w:b/>
          <w:sz w:val="22"/>
        </w:rPr>
        <w:t>Labor</w:t>
      </w:r>
      <w:r>
        <w:rPr>
          <w:b/>
          <w:spacing w:val="-8"/>
          <w:sz w:val="22"/>
        </w:rPr>
        <w:t> </w:t>
      </w:r>
      <w:r>
        <w:rPr>
          <w:b/>
          <w:sz w:val="22"/>
        </w:rPr>
        <w:t>Statistics</w:t>
      </w:r>
      <w:r>
        <w:rPr>
          <w:b/>
          <w:spacing w:val="-8"/>
          <w:sz w:val="22"/>
        </w:rPr>
        <w:t> </w:t>
      </w:r>
      <w:r>
        <w:rPr>
          <w:b/>
          <w:spacing w:val="-4"/>
          <w:sz w:val="22"/>
        </w:rPr>
        <w:t>(BLS)</w:t>
      </w:r>
    </w:p>
    <w:p>
      <w:pPr>
        <w:spacing w:before="0"/>
        <w:ind w:left="840" w:right="840" w:firstLine="0"/>
        <w:jc w:val="both"/>
        <w:rPr>
          <w:sz w:val="22"/>
        </w:rPr>
      </w:pPr>
      <w:r>
        <w:rPr>
          <w:sz w:val="22"/>
        </w:rPr>
        <w:t>The Bureau of Labor Statistics measures labor market activity, working conditions, price changes, and productivity In the U.S. economy to support public and private decision making.</w:t>
      </w:r>
    </w:p>
    <w:p>
      <w:pPr>
        <w:pStyle w:val="BodyText"/>
        <w:rPr>
          <w:sz w:val="22"/>
        </w:rPr>
      </w:pPr>
    </w:p>
    <w:p>
      <w:pPr>
        <w:spacing w:before="0"/>
        <w:ind w:left="840" w:right="0" w:firstLine="0"/>
        <w:jc w:val="both"/>
        <w:rPr>
          <w:b/>
          <w:sz w:val="22"/>
        </w:rPr>
      </w:pPr>
      <w:r>
        <w:rPr>
          <w:b/>
          <w:sz w:val="22"/>
        </w:rPr>
        <w:t>About</w:t>
      </w:r>
      <w:r>
        <w:rPr>
          <w:b/>
          <w:spacing w:val="-10"/>
          <w:sz w:val="22"/>
        </w:rPr>
        <w:t> </w:t>
      </w:r>
      <w:r>
        <w:rPr>
          <w:b/>
          <w:sz w:val="22"/>
        </w:rPr>
        <w:t>Local</w:t>
      </w:r>
      <w:r>
        <w:rPr>
          <w:b/>
          <w:spacing w:val="-10"/>
          <w:sz w:val="22"/>
        </w:rPr>
        <w:t> </w:t>
      </w:r>
      <w:r>
        <w:rPr>
          <w:b/>
          <w:sz w:val="22"/>
        </w:rPr>
        <w:t>Area</w:t>
      </w:r>
      <w:r>
        <w:rPr>
          <w:b/>
          <w:spacing w:val="-11"/>
          <w:sz w:val="22"/>
        </w:rPr>
        <w:t> </w:t>
      </w:r>
      <w:r>
        <w:rPr>
          <w:b/>
          <w:sz w:val="22"/>
        </w:rPr>
        <w:t>Unemployment</w:t>
      </w:r>
      <w:r>
        <w:rPr>
          <w:b/>
          <w:spacing w:val="-11"/>
          <w:sz w:val="22"/>
        </w:rPr>
        <w:t> </w:t>
      </w:r>
      <w:r>
        <w:rPr>
          <w:b/>
          <w:sz w:val="22"/>
        </w:rPr>
        <w:t>Statistics</w:t>
      </w:r>
      <w:r>
        <w:rPr>
          <w:b/>
          <w:spacing w:val="-11"/>
          <w:sz w:val="22"/>
        </w:rPr>
        <w:t> </w:t>
      </w:r>
      <w:r>
        <w:rPr>
          <w:b/>
          <w:spacing w:val="-2"/>
          <w:sz w:val="22"/>
        </w:rPr>
        <w:t>(LAUS)</w:t>
      </w:r>
    </w:p>
    <w:p>
      <w:pPr>
        <w:spacing w:before="0"/>
        <w:ind w:left="840" w:right="839" w:firstLine="0"/>
        <w:jc w:val="both"/>
        <w:rPr>
          <w:sz w:val="22"/>
        </w:rPr>
      </w:pPr>
      <w:r>
        <w:rPr>
          <w:sz w:val="22"/>
        </w:rPr>
        <w:t>The LAUS</w:t>
      </w:r>
      <w:r>
        <w:rPr>
          <w:spacing w:val="-3"/>
          <w:sz w:val="22"/>
        </w:rPr>
        <w:t> </w:t>
      </w:r>
      <w:r>
        <w:rPr>
          <w:sz w:val="22"/>
        </w:rPr>
        <w:t>program produces monthly and annual employment, unemployment, and labor force data for Census</w:t>
      </w:r>
      <w:r>
        <w:rPr>
          <w:spacing w:val="-8"/>
          <w:sz w:val="22"/>
        </w:rPr>
        <w:t> </w:t>
      </w:r>
      <w:r>
        <w:rPr>
          <w:sz w:val="22"/>
        </w:rPr>
        <w:t>regions</w:t>
      </w:r>
      <w:r>
        <w:rPr>
          <w:spacing w:val="-8"/>
          <w:sz w:val="22"/>
        </w:rPr>
        <w:t> </w:t>
      </w:r>
      <w:r>
        <w:rPr>
          <w:sz w:val="22"/>
        </w:rPr>
        <w:t>and</w:t>
      </w:r>
      <w:r>
        <w:rPr>
          <w:spacing w:val="-7"/>
          <w:sz w:val="22"/>
        </w:rPr>
        <w:t> </w:t>
      </w:r>
      <w:r>
        <w:rPr>
          <w:sz w:val="22"/>
        </w:rPr>
        <w:t>divisions,</w:t>
      </w:r>
      <w:r>
        <w:rPr>
          <w:spacing w:val="-8"/>
          <w:sz w:val="22"/>
        </w:rPr>
        <w:t> </w:t>
      </w:r>
      <w:r>
        <w:rPr>
          <w:sz w:val="22"/>
        </w:rPr>
        <w:t>States,</w:t>
      </w:r>
      <w:r>
        <w:rPr>
          <w:spacing w:val="-7"/>
          <w:sz w:val="22"/>
        </w:rPr>
        <w:t> </w:t>
      </w:r>
      <w:r>
        <w:rPr>
          <w:sz w:val="22"/>
        </w:rPr>
        <w:t>counties,</w:t>
      </w:r>
      <w:r>
        <w:rPr>
          <w:spacing w:val="-7"/>
          <w:sz w:val="22"/>
        </w:rPr>
        <w:t> </w:t>
      </w:r>
      <w:r>
        <w:rPr>
          <w:sz w:val="22"/>
        </w:rPr>
        <w:t>metropolitan</w:t>
      </w:r>
      <w:r>
        <w:rPr>
          <w:spacing w:val="-9"/>
          <w:sz w:val="22"/>
        </w:rPr>
        <w:t> </w:t>
      </w:r>
      <w:r>
        <w:rPr>
          <w:sz w:val="22"/>
        </w:rPr>
        <w:t>areas,</w:t>
      </w:r>
      <w:r>
        <w:rPr>
          <w:spacing w:val="-8"/>
          <w:sz w:val="22"/>
        </w:rPr>
        <w:t> </w:t>
      </w:r>
      <w:r>
        <w:rPr>
          <w:sz w:val="22"/>
        </w:rPr>
        <w:t>and</w:t>
      </w:r>
      <w:r>
        <w:rPr>
          <w:spacing w:val="-7"/>
          <w:sz w:val="22"/>
        </w:rPr>
        <w:t> </w:t>
      </w:r>
      <w:r>
        <w:rPr>
          <w:sz w:val="22"/>
        </w:rPr>
        <w:t>many</w:t>
      </w:r>
      <w:r>
        <w:rPr>
          <w:spacing w:val="-7"/>
          <w:sz w:val="22"/>
        </w:rPr>
        <w:t> </w:t>
      </w:r>
      <w:r>
        <w:rPr>
          <w:sz w:val="22"/>
        </w:rPr>
        <w:t>cities,</w:t>
      </w:r>
      <w:r>
        <w:rPr>
          <w:spacing w:val="-8"/>
          <w:sz w:val="22"/>
        </w:rPr>
        <w:t> </w:t>
      </w:r>
      <w:r>
        <w:rPr>
          <w:sz w:val="22"/>
        </w:rPr>
        <w:t>by</w:t>
      </w:r>
      <w:r>
        <w:rPr>
          <w:spacing w:val="-8"/>
          <w:sz w:val="22"/>
        </w:rPr>
        <w:t> </w:t>
      </w:r>
      <w:r>
        <w:rPr>
          <w:sz w:val="22"/>
        </w:rPr>
        <w:t>place</w:t>
      </w:r>
      <w:r>
        <w:rPr>
          <w:spacing w:val="-7"/>
          <w:sz w:val="22"/>
        </w:rPr>
        <w:t> </w:t>
      </w:r>
      <w:r>
        <w:rPr>
          <w:sz w:val="22"/>
        </w:rPr>
        <w:t>of</w:t>
      </w:r>
      <w:r>
        <w:rPr>
          <w:spacing w:val="-8"/>
          <w:sz w:val="22"/>
        </w:rPr>
        <w:t> </w:t>
      </w:r>
      <w:r>
        <w:rPr>
          <w:sz w:val="22"/>
        </w:rPr>
        <w:t>residence.</w:t>
      </w:r>
    </w:p>
    <w:p>
      <w:pPr>
        <w:spacing w:before="160"/>
        <w:ind w:left="840" w:right="0" w:firstLine="0"/>
        <w:jc w:val="both"/>
        <w:rPr>
          <w:b/>
          <w:sz w:val="22"/>
        </w:rPr>
      </w:pPr>
      <w:r>
        <w:rPr>
          <w:b/>
          <w:sz w:val="22"/>
        </w:rPr>
        <w:t>About</w:t>
      </w:r>
      <w:r>
        <w:rPr>
          <w:b/>
          <w:spacing w:val="-12"/>
          <w:sz w:val="22"/>
        </w:rPr>
        <w:t> </w:t>
      </w:r>
      <w:r>
        <w:rPr>
          <w:b/>
          <w:sz w:val="22"/>
        </w:rPr>
        <w:t>Current</w:t>
      </w:r>
      <w:r>
        <w:rPr>
          <w:b/>
          <w:spacing w:val="-11"/>
          <w:sz w:val="22"/>
        </w:rPr>
        <w:t> </w:t>
      </w:r>
      <w:r>
        <w:rPr>
          <w:b/>
          <w:sz w:val="22"/>
        </w:rPr>
        <w:t>Employment</w:t>
      </w:r>
      <w:r>
        <w:rPr>
          <w:b/>
          <w:spacing w:val="-12"/>
          <w:sz w:val="22"/>
        </w:rPr>
        <w:t> </w:t>
      </w:r>
      <w:r>
        <w:rPr>
          <w:b/>
          <w:sz w:val="22"/>
        </w:rPr>
        <w:t>Statistics</w:t>
      </w:r>
      <w:r>
        <w:rPr>
          <w:b/>
          <w:spacing w:val="-10"/>
          <w:sz w:val="22"/>
        </w:rPr>
        <w:t> </w:t>
      </w:r>
      <w:r>
        <w:rPr>
          <w:b/>
          <w:spacing w:val="-4"/>
          <w:sz w:val="22"/>
        </w:rPr>
        <w:t>(CES)</w:t>
      </w:r>
    </w:p>
    <w:p>
      <w:pPr>
        <w:spacing w:before="1"/>
        <w:ind w:left="840" w:right="839" w:firstLine="0"/>
        <w:jc w:val="both"/>
        <w:rPr>
          <w:sz w:val="22"/>
        </w:rPr>
      </w:pPr>
      <w:r>
        <w:rPr>
          <w:sz w:val="22"/>
        </w:rPr>
        <w:t>The CES program produces detailed industry estimates of</w:t>
      </w:r>
      <w:r>
        <w:rPr>
          <w:spacing w:val="-2"/>
          <w:sz w:val="22"/>
        </w:rPr>
        <w:t> </w:t>
      </w:r>
      <w:r>
        <w:rPr>
          <w:sz w:val="22"/>
        </w:rPr>
        <w:t>employment,</w:t>
      </w:r>
      <w:r>
        <w:rPr>
          <w:spacing w:val="-2"/>
          <w:sz w:val="22"/>
        </w:rPr>
        <w:t> </w:t>
      </w:r>
      <w:r>
        <w:rPr>
          <w:sz w:val="22"/>
        </w:rPr>
        <w:t>hours, and</w:t>
      </w:r>
      <w:r>
        <w:rPr>
          <w:spacing w:val="-3"/>
          <w:sz w:val="22"/>
        </w:rPr>
        <w:t> </w:t>
      </w:r>
      <w:r>
        <w:rPr>
          <w:sz w:val="22"/>
        </w:rPr>
        <w:t>earnings</w:t>
      </w:r>
      <w:r>
        <w:rPr>
          <w:spacing w:val="-2"/>
          <w:sz w:val="22"/>
        </w:rPr>
        <w:t> </w:t>
      </w:r>
      <w:r>
        <w:rPr>
          <w:sz w:val="22"/>
        </w:rPr>
        <w:t>of workers on nonfarm payrolls. CES State and Metro Area produces data for all 50 States, the District of Columbia, Puerto Rico, the Virgin Islands, and about 450 metropolitan areas and divisions.</w:t>
      </w:r>
    </w:p>
    <w:sectPr>
      <w:pgSz w:w="12240" w:h="15840"/>
      <w:pgMar w:top="1220" w:bottom="2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4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86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900" w:hanging="360"/>
      </w:pPr>
      <w:rPr>
        <w:rFonts w:hint="default"/>
        <w:lang w:val="en-US" w:eastAsia="en-US" w:bidi="ar-SA"/>
      </w:rPr>
    </w:lvl>
    <w:lvl w:ilvl="4">
      <w:start w:val="0"/>
      <w:numFmt w:val="bullet"/>
      <w:lvlText w:val="•"/>
      <w:lvlJc w:val="left"/>
      <w:pPr>
        <w:ind w:left="4920" w:hanging="360"/>
      </w:pPr>
      <w:rPr>
        <w:rFonts w:hint="default"/>
        <w:lang w:val="en-US" w:eastAsia="en-US" w:bidi="ar-SA"/>
      </w:rPr>
    </w:lvl>
    <w:lvl w:ilvl="5">
      <w:start w:val="0"/>
      <w:numFmt w:val="bullet"/>
      <w:lvlText w:val="•"/>
      <w:lvlJc w:val="left"/>
      <w:pPr>
        <w:ind w:left="5940" w:hanging="360"/>
      </w:pPr>
      <w:rPr>
        <w:rFonts w:hint="default"/>
        <w:lang w:val="en-US" w:eastAsia="en-US" w:bidi="ar-SA"/>
      </w:rPr>
    </w:lvl>
    <w:lvl w:ilvl="6">
      <w:start w:val="0"/>
      <w:numFmt w:val="bullet"/>
      <w:lvlText w:val="•"/>
      <w:lvlJc w:val="left"/>
      <w:pPr>
        <w:ind w:left="6960" w:hanging="360"/>
      </w:pPr>
      <w:rPr>
        <w:rFonts w:hint="default"/>
        <w:lang w:val="en-US" w:eastAsia="en-US" w:bidi="ar-SA"/>
      </w:rPr>
    </w:lvl>
    <w:lvl w:ilvl="7">
      <w:start w:val="0"/>
      <w:numFmt w:val="bullet"/>
      <w:lvlText w:val="•"/>
      <w:lvlJc w:val="left"/>
      <w:pPr>
        <w:ind w:left="7980" w:hanging="360"/>
      </w:pPr>
      <w:rPr>
        <w:rFonts w:hint="default"/>
        <w:lang w:val="en-US" w:eastAsia="en-US" w:bidi="ar-SA"/>
      </w:rPr>
    </w:lvl>
    <w:lvl w:ilvl="8">
      <w:start w:val="0"/>
      <w:numFmt w:val="bullet"/>
      <w:lvlText w:val="•"/>
      <w:lvlJc w:val="left"/>
      <w:pPr>
        <w:ind w:left="900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ind w:left="89" w:right="90"/>
      <w:jc w:val="center"/>
      <w:outlineLvl w:val="1"/>
    </w:pPr>
    <w:rPr>
      <w:rFonts w:ascii="Calibri" w:hAnsi="Calibri" w:eastAsia="Calibri" w:cs="Calibri"/>
      <w:b/>
      <w:bCs/>
      <w:sz w:val="24"/>
      <w:szCs w:val="24"/>
      <w:lang w:val="en-US" w:eastAsia="en-US" w:bidi="ar-SA"/>
    </w:rPr>
  </w:style>
  <w:style w:styleId="Title" w:type="paragraph">
    <w:name w:val="Title"/>
    <w:basedOn w:val="Normal"/>
    <w:uiPriority w:val="1"/>
    <w:qFormat/>
    <w:pPr>
      <w:spacing w:before="328"/>
      <w:ind w:left="90" w:right="90"/>
      <w:jc w:val="center"/>
    </w:pPr>
    <w:rPr>
      <w:rFonts w:ascii="Calibri" w:hAnsi="Calibri" w:eastAsia="Calibri" w:cs="Calibri"/>
      <w:b/>
      <w:bCs/>
      <w:sz w:val="32"/>
      <w:szCs w:val="32"/>
      <w:lang w:val="en-US" w:eastAsia="en-US" w:bidi="ar-SA"/>
    </w:rPr>
  </w:style>
  <w:style w:styleId="ListParagraph" w:type="paragraph">
    <w:name w:val="List Paragraph"/>
    <w:basedOn w:val="Normal"/>
    <w:uiPriority w:val="1"/>
    <w:qFormat/>
    <w:pPr>
      <w:spacing w:before="105"/>
      <w:ind w:left="840" w:right="116" w:hanging="360"/>
      <w:jc w:val="both"/>
    </w:pPr>
    <w:rPr>
      <w:rFonts w:ascii="Calibri" w:hAnsi="Calibri" w:eastAsia="Calibri" w:cs="Calibri"/>
      <w:lang w:val="en-US" w:eastAsia="en-US" w:bidi="ar-SA"/>
    </w:rPr>
  </w:style>
  <w:style w:styleId="TableParagraph" w:type="paragraph">
    <w:name w:val="Table Paragraph"/>
    <w:basedOn w:val="Normal"/>
    <w:uiPriority w:val="1"/>
    <w:qFormat/>
    <w:pPr>
      <w:spacing w:before="31" w:line="248" w:lineRule="exact"/>
      <w:ind w:right="96"/>
      <w:jc w:val="righ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zoe.dell@arkansas.gov" TargetMode="External"/><Relationship Id="rId7" Type="http://schemas.openxmlformats.org/officeDocument/2006/relationships/hyperlink" Target="https://www.bls.gov/cps/definitions.htm" TargetMode="Externa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hyperlink" Target="http://www.discover.arkansas.gov/" TargetMode="External"/><Relationship Id="rId11" Type="http://schemas.openxmlformats.org/officeDocument/2006/relationships/image" Target="media/image4.jpeg"/><Relationship Id="rId12" Type="http://schemas.openxmlformats.org/officeDocument/2006/relationships/image" Target="media/image5.pn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AIDC</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Cogbill</dc:creator>
  <dc:description/>
  <dcterms:created xsi:type="dcterms:W3CDTF">2025-04-18T14:17:01Z</dcterms:created>
  <dcterms:modified xsi:type="dcterms:W3CDTF">2025-04-18T14:17:01Z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0x010100BAB756CB9C79974A91E85E0079C86DD1</vt:lpwstr>
  </property>
  <property fmtid="{D5CDD505-2E9C-101B-9397-08002B2CF9AE}" pid="3" name="Created">
    <vt:filetime>2025-04-17T00:00:00Z</vt:filetime>
  </property>
  <property fmtid="{D5CDD505-2E9C-101B-9397-08002B2CF9AE}" pid="4" name="Creator">
    <vt:lpwstr>Acrobat PDFMaker 25 for Word</vt:lpwstr>
  </property>
  <property fmtid="{D5CDD505-2E9C-101B-9397-08002B2CF9AE}" pid="5" name="LastSaved">
    <vt:filetime>2025-04-18T00:00:00Z</vt:filetime>
  </property>
  <property fmtid="{D5CDD505-2E9C-101B-9397-08002B2CF9AE}" pid="6" name="MediaServiceImageTags">
    <vt:lpwstr/>
  </property>
  <property fmtid="{D5CDD505-2E9C-101B-9397-08002B2CF9AE}" pid="7" name="Order">
    <vt:lpwstr>100.000000</vt:lpwstr>
  </property>
  <property fmtid="{D5CDD505-2E9C-101B-9397-08002B2CF9AE}" pid="8" name="Producer">
    <vt:lpwstr>Adobe PDF Library 25.1.211</vt:lpwstr>
  </property>
  <property fmtid="{D5CDD505-2E9C-101B-9397-08002B2CF9AE}" pid="9" name="SourceModified">
    <vt:lpwstr/>
  </property>
</Properties>
</file>